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EE" w:rsidRDefault="00B25EEE">
      <w:pPr>
        <w:pStyle w:val="Title"/>
      </w:pPr>
      <w:bookmarkStart w:id="0" w:name="_GoBack"/>
      <w:bookmarkEnd w:id="0"/>
      <w:smartTag w:uri="urn:schemas-microsoft-com:office:smarttags" w:element="PlaceName">
        <w:smartTag w:uri="urn:schemas-microsoft-com:office:smarttags" w:element="place">
          <w:r>
            <w:t>Springfield</w:t>
          </w:r>
        </w:smartTag>
        <w:r>
          <w:t xml:space="preserve"> </w:t>
        </w:r>
        <w:smartTag w:uri="urn:schemas-microsoft-com:office:smarttags" w:element="PlaceType">
          <w:r>
            <w:t>Technical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</w:p>
    <w:p w:rsidR="00B25EEE" w:rsidRDefault="00B25EEE">
      <w:pPr>
        <w:jc w:val="center"/>
        <w:rPr>
          <w:b/>
          <w:bCs/>
          <w:smallCaps/>
          <w:sz w:val="14"/>
          <w:szCs w:val="14"/>
        </w:rPr>
      </w:pPr>
    </w:p>
    <w:p w:rsidR="00B25EEE" w:rsidRDefault="00B25EEE">
      <w:pPr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ACADEMIC AFFAIRS</w:t>
      </w:r>
    </w:p>
    <w:p w:rsidR="00B25EEE" w:rsidRDefault="00B25EEE">
      <w:pPr>
        <w:rPr>
          <w:b/>
          <w:bCs/>
          <w:smallCaps/>
          <w:sz w:val="28"/>
          <w:szCs w:val="28"/>
        </w:rPr>
      </w:pPr>
    </w:p>
    <w:p w:rsidR="00B25EEE" w:rsidRDefault="00B25EEE">
      <w:pPr>
        <w:rPr>
          <w:b/>
          <w:bCs/>
          <w:smallCap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3654"/>
        <w:gridCol w:w="1736"/>
        <w:gridCol w:w="1218"/>
        <w:gridCol w:w="956"/>
        <w:gridCol w:w="1480"/>
      </w:tblGrid>
      <w:tr w:rsidR="00B25E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6" w:type="dxa"/>
            <w:tcBorders>
              <w:top w:val="single" w:sz="4" w:space="0" w:color="auto"/>
              <w:bottom w:val="nil"/>
              <w:right w:val="nil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bookmarkStart w:id="1" w:name="DDE_LINK1" w:colFirst="1" w:colLast="1"/>
            <w:r>
              <w:rPr>
                <w:sz w:val="28"/>
                <w:szCs w:val="28"/>
              </w:rPr>
              <w:t>Course Number: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CLLS 155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Department: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Clinical Laboratory Sciences</w:t>
            </w:r>
          </w:p>
        </w:tc>
      </w:tr>
      <w:bookmarkEnd w:id="1"/>
      <w:tr w:rsidR="00B25E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6" w:type="dxa"/>
            <w:tcBorders>
              <w:top w:val="nil"/>
              <w:bottom w:val="single" w:sz="4" w:space="0" w:color="auto"/>
              <w:right w:val="nil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Title: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Clinical Experience III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Semester: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</w:tcBorders>
          </w:tcPr>
          <w:p w:rsidR="00B25EEE" w:rsidRDefault="00B25EE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</w:tr>
    </w:tbl>
    <w:p w:rsidR="00B25EEE" w:rsidRDefault="00B25EEE">
      <w:pPr>
        <w:ind w:left="1440" w:right="1440"/>
        <w:rPr>
          <w:b/>
          <w:bCs/>
          <w:smallCaps/>
          <w:sz w:val="28"/>
          <w:szCs w:val="28"/>
        </w:rPr>
      </w:pPr>
    </w:p>
    <w:p w:rsidR="00B25EEE" w:rsidRDefault="00B25EEE">
      <w:pPr>
        <w:ind w:left="1440" w:right="1440"/>
        <w:rPr>
          <w:b/>
          <w:bCs/>
          <w:smallCaps/>
          <w:sz w:val="28"/>
          <w:szCs w:val="28"/>
        </w:rPr>
      </w:pPr>
    </w:p>
    <w:p w:rsidR="00B25EEE" w:rsidRDefault="00B25EEE">
      <w:pPr>
        <w:ind w:left="1440" w:righ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Competencies/Objectives</w:t>
      </w:r>
    </w:p>
    <w:p w:rsidR="00B25EEE" w:rsidRDefault="00B25EEE">
      <w:pPr>
        <w:ind w:left="1440" w:right="1440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7200"/>
      </w:tblGrid>
      <w:tr w:rsidR="00B25E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308" w:type="dxa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5EEE" w:rsidRDefault="00B25EEE">
            <w:pPr>
              <w:ind w:left="360" w:hanging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Competencies</w:t>
            </w:r>
          </w:p>
        </w:tc>
        <w:tc>
          <w:tcPr>
            <w:tcW w:w="7200" w:type="dxa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5EEE" w:rsidRDefault="00B25EEE">
            <w:pPr>
              <w:ind w:left="252" w:hanging="2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 Objective</w:t>
            </w:r>
          </w:p>
        </w:tc>
      </w:tr>
      <w:tr w:rsidR="00B25EEE">
        <w:tblPrEx>
          <w:tblCellMar>
            <w:top w:w="0" w:type="dxa"/>
            <w:bottom w:w="0" w:type="dxa"/>
          </w:tblCellMar>
        </w:tblPrEx>
        <w:trPr>
          <w:trHeight w:val="5300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EE" w:rsidRPr="00B25EEE" w:rsidRDefault="00B25EEE">
            <w:pPr>
              <w:pStyle w:val="BodyTextIndent2"/>
              <w:tabs>
                <w:tab w:val="decimal" w:pos="270"/>
              </w:tabs>
              <w:ind w:left="446" w:hanging="446"/>
            </w:pPr>
            <w:r w:rsidRPr="00B25EEE">
              <w:t>1.</w:t>
            </w:r>
            <w:r>
              <w:t xml:space="preserve"> </w:t>
            </w:r>
            <w:r w:rsidRPr="00B25EEE">
              <w:t>Students will demonstrate professionalism in appearance, behavior, attitude and skills while on clinical affiliation.</w:t>
            </w: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Pr="00B25EEE" w:rsidRDefault="00B25EEE" w:rsidP="00B25EEE">
            <w:pPr>
              <w:pStyle w:val="BodyTextIndent2"/>
              <w:tabs>
                <w:tab w:val="decimal" w:pos="270"/>
              </w:tabs>
              <w:ind w:left="450" w:hanging="360"/>
            </w:pPr>
            <w:r w:rsidRPr="00B25EEE">
              <w:t>2. Upon conclusion of the Specimen Processing clinical experience the student will have a through knowledge of the department functions and be able to complete the following assigned tasks according to established laboratory protocols within the specified time of the rotation</w:t>
            </w:r>
            <w:r>
              <w:t>.</w:t>
            </w: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9B1D26" w:rsidRDefault="009B1D26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9B1D26" w:rsidRDefault="009B1D26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9B1D26" w:rsidRDefault="009B1D26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Pr="00B25EEE" w:rsidRDefault="00B25EEE" w:rsidP="00B25EEE">
            <w:pPr>
              <w:pStyle w:val="Heading4"/>
              <w:tabs>
                <w:tab w:val="left" w:pos="720"/>
              </w:tabs>
              <w:ind w:left="270" w:hanging="270"/>
              <w:rPr>
                <w:b w:val="0"/>
                <w:bCs w:val="0"/>
                <w:szCs w:val="20"/>
              </w:rPr>
            </w:pPr>
            <w:r w:rsidRPr="00B25EEE">
              <w:rPr>
                <w:b w:val="0"/>
              </w:rPr>
              <w:t xml:space="preserve">3. Upon conclusion of the Advanced Phlebotomy clinical   experience the student will have a thorough knowledge of the department functions and be able to perform and/or demonstrate comprehension of the following assigned tasks according to established laboratory protocols within the specified time of the rotation.  </w:t>
            </w: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  <w:p w:rsidR="00B25EEE" w:rsidRDefault="00B25EEE" w:rsidP="00B25EEE">
            <w:pPr>
              <w:pStyle w:val="BodyTextIndent2"/>
              <w:tabs>
                <w:tab w:val="decimal" w:pos="270"/>
              </w:tabs>
              <w:ind w:left="2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Pr="00B25EEE" w:rsidRDefault="00B25EEE" w:rsidP="00B25EEE">
            <w:pPr>
              <w:pStyle w:val="BodyTextIndent2"/>
              <w:tabs>
                <w:tab w:val="decimal" w:pos="270"/>
              </w:tabs>
              <w:ind w:left="450" w:hanging="360"/>
            </w:pPr>
            <w:r>
              <w:rPr>
                <w:sz w:val="24"/>
                <w:szCs w:val="24"/>
              </w:rPr>
              <w:t>4</w:t>
            </w:r>
            <w:r w:rsidRPr="00B25EEE">
              <w:t>. Upon conclusion of the Waived Testing clinical experience the student will have a thorough knowledge of various waived testing procedures and be able to perform and/or demonstrate comprehension of the following assigned tasks according to established laboratory protocols within the specified time of the rotation</w:t>
            </w:r>
          </w:p>
          <w:p w:rsidR="00B25EEE" w:rsidRPr="00B25EEE" w:rsidRDefault="00B25EEE" w:rsidP="00B25EEE">
            <w:pPr>
              <w:pStyle w:val="BodyTextIndent2"/>
              <w:tabs>
                <w:tab w:val="decimal" w:pos="270"/>
              </w:tabs>
              <w:ind w:left="450" w:hanging="360"/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446" w:hanging="446"/>
              <w:rPr>
                <w:sz w:val="24"/>
                <w:szCs w:val="24"/>
              </w:rPr>
            </w:pPr>
          </w:p>
          <w:p w:rsidR="00B25EEE" w:rsidRDefault="00B25EEE">
            <w:pPr>
              <w:pStyle w:val="BodyTextIndent2"/>
              <w:tabs>
                <w:tab w:val="decimal" w:pos="27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lastRenderedPageBreak/>
              <w:t xml:space="preserve">Students will demonstrate proper </w:t>
            </w:r>
            <w:r w:rsidRPr="00B25EEE">
              <w:rPr>
                <w:bCs/>
                <w:sz w:val="28"/>
                <w:szCs w:val="28"/>
              </w:rPr>
              <w:t>professional</w:t>
            </w:r>
            <w:r w:rsidRPr="00B25EEE">
              <w:rPr>
                <w:sz w:val="28"/>
                <w:szCs w:val="28"/>
              </w:rPr>
              <w:t xml:space="preserve"> appearance by being neatly groomed and adhering to departmental dress codes.</w:t>
            </w:r>
          </w:p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Students will maintain a rigid attendance policy in which there are only excused absences or tardiness.</w:t>
            </w:r>
          </w:p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Students will demonstrate honesty by always being accountable for their actions and notifying supervisors in the event of an error.</w:t>
            </w:r>
          </w:p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Students will demonstrate workload organization by maintaining</w:t>
            </w:r>
            <w:r w:rsidRPr="00B25EEE">
              <w:rPr>
                <w:b/>
                <w:bCs/>
                <w:sz w:val="28"/>
                <w:szCs w:val="28"/>
              </w:rPr>
              <w:t xml:space="preserve"> </w:t>
            </w:r>
            <w:r w:rsidRPr="00B25EEE">
              <w:rPr>
                <w:sz w:val="28"/>
                <w:szCs w:val="28"/>
              </w:rPr>
              <w:t>a clean and orderly work area, properly documenting procedures and following oral and/or written directions.</w:t>
            </w:r>
          </w:p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 xml:space="preserve">Students will communicate (verbally and nonverbally) effectively, courteously and appropriately in the workplace. </w:t>
            </w:r>
          </w:p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Students will demonstrate the ability to work in a team and value diversity.</w:t>
            </w:r>
          </w:p>
          <w:p w:rsidR="00B25EEE" w:rsidRPr="00B25EEE" w:rsidRDefault="00B25EEE" w:rsidP="00B25EEE">
            <w:pPr>
              <w:ind w:right="144"/>
              <w:rPr>
                <w:sz w:val="28"/>
                <w:szCs w:val="28"/>
              </w:rPr>
            </w:pPr>
          </w:p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lastRenderedPageBreak/>
              <w:t>Students accept constructive criticism as a part of the learning process.</w:t>
            </w:r>
          </w:p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Students will show respect for authority and the hierarchy within the laboratory.</w:t>
            </w:r>
          </w:p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Students will demonstrate appropriate professional attitudes and behavior and perform assigned tasks with interest and enthusiasm.</w:t>
            </w:r>
          </w:p>
          <w:p w:rsidR="00B25EEE" w:rsidRPr="00B25EEE" w:rsidRDefault="00B25EEE" w:rsidP="00B25EEE">
            <w:pPr>
              <w:numPr>
                <w:ilvl w:val="0"/>
                <w:numId w:val="28"/>
              </w:numPr>
              <w:autoSpaceDE/>
              <w:autoSpaceDN/>
              <w:ind w:right="144"/>
              <w:rPr>
                <w:b/>
                <w:bCs/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 xml:space="preserve">Students will demonstrate knowledge and proper performance of </w:t>
            </w:r>
            <w:r w:rsidRPr="00B25EEE">
              <w:rPr>
                <w:b/>
                <w:bCs/>
                <w:sz w:val="28"/>
                <w:szCs w:val="28"/>
                <w:u w:val="single"/>
              </w:rPr>
              <w:t>all</w:t>
            </w:r>
            <w:r w:rsidRPr="00B25EEE">
              <w:rPr>
                <w:sz w:val="28"/>
                <w:szCs w:val="28"/>
              </w:rPr>
              <w:t xml:space="preserve"> safety, infection control and confidentiality practices and policies in compliance with federal, state, and local mandates while working within the laboratory.</w:t>
            </w:r>
          </w:p>
          <w:p w:rsidR="00B25EEE" w:rsidRDefault="00B25EEE">
            <w:pPr>
              <w:tabs>
                <w:tab w:val="num" w:pos="720"/>
              </w:tabs>
            </w:pP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Use common medical terminology associated with specimen processing.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Demonstrate knowledge of and adhere to safety practices by complying with federal, state, and local mandates regarding safety using OSHA Universal Precaution Standards.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Use prescribed procedures to handle electrical, chemical, biological and fire hazards.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Describe the difference between whole blood, serum and plasma.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Follow written Standard Operating Procedures and verbal instructions in carrying out specimen processing procedures for the following types of specimens:</w:t>
            </w:r>
          </w:p>
          <w:p w:rsidR="00B25EEE" w:rsidRPr="00B25EEE" w:rsidRDefault="00B25EEE" w:rsidP="00B25EEE">
            <w:pPr>
              <w:numPr>
                <w:ilvl w:val="1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Routine</w:t>
            </w:r>
          </w:p>
          <w:p w:rsidR="00B25EEE" w:rsidRPr="00B25EEE" w:rsidRDefault="00B25EEE" w:rsidP="00B25EEE">
            <w:pPr>
              <w:numPr>
                <w:ilvl w:val="1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Chain of Custody</w:t>
            </w:r>
          </w:p>
          <w:p w:rsidR="00B25EEE" w:rsidRPr="00B25EEE" w:rsidRDefault="00B25EEE" w:rsidP="00B25EEE">
            <w:pPr>
              <w:numPr>
                <w:ilvl w:val="1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lastRenderedPageBreak/>
              <w:t>Irreplaceable specimens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Uses prescribed procedures to aliquot specimens for various laboratory tests.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Follow operating procedures for labeling, transportation, and processing of specimens for in-house and reference laboratory specimens.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Maintain confidentiality of privileged information about patients in accordance with HIPAA.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Properly uses the information systems necessary in order to accomplish job functions.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Identify and report potential pre-analytical errors that may occur during specimen collection, labeling, transportation and proc</w:t>
            </w:r>
            <w:r w:rsidR="009B1D26">
              <w:rPr>
                <w:sz w:val="28"/>
                <w:szCs w:val="28"/>
              </w:rPr>
              <w:t>essing to include: proper identification and labeling, identification of source, expiration of collection equipment and specimen stability.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List and apply criteria that would lead to rejection or recollection of a patient sample.</w:t>
            </w:r>
          </w:p>
          <w:p w:rsidR="00B25EEE" w:rsidRPr="00B25EEE" w:rsidRDefault="00B25EEE" w:rsidP="00B25EEE">
            <w:pPr>
              <w:numPr>
                <w:ilvl w:val="0"/>
                <w:numId w:val="29"/>
              </w:numPr>
              <w:autoSpaceDE/>
              <w:autoSpaceDN/>
              <w:rPr>
                <w:bCs/>
                <w:sz w:val="28"/>
                <w:szCs w:val="28"/>
              </w:rPr>
            </w:pPr>
            <w:r w:rsidRPr="00B25EEE">
              <w:rPr>
                <w:bCs/>
                <w:sz w:val="28"/>
                <w:szCs w:val="28"/>
              </w:rPr>
              <w:t>Perform all affective behaviors regarding safety and professionalism to at least a 73% criterion.</w:t>
            </w:r>
          </w:p>
          <w:p w:rsidR="00B25EEE" w:rsidRPr="00FF3012" w:rsidRDefault="00B25EEE" w:rsidP="00B25EEE">
            <w:pPr>
              <w:ind w:left="360"/>
              <w:rPr>
                <w:rFonts w:ascii="Tahoma" w:hAnsi="Tahoma" w:cs="Tahoma"/>
                <w:bCs/>
                <w:sz w:val="26"/>
              </w:rPr>
            </w:pPr>
          </w:p>
          <w:p w:rsidR="00B25EEE" w:rsidRDefault="00B25EEE" w:rsidP="00B25EEE">
            <w:pPr>
              <w:adjustRightInd w:val="0"/>
              <w:ind w:left="72"/>
            </w:pP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Use common phlebotomy terminology as it relates to the clinical laboratory environment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Describe the difference betwee</w:t>
            </w:r>
            <w:r w:rsidR="009B1D26">
              <w:rPr>
                <w:sz w:val="28"/>
                <w:szCs w:val="28"/>
              </w:rPr>
              <w:t>n whole blood, serum, plasma, platelets and cryoprecipitate.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Identify and use blood collection equipment.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Identify the additive by the evacuated tube color.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lastRenderedPageBreak/>
              <w:t>Identify and properly use equipment needed to collect blood by venipuncture and capillary (skin) puncture.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According to Standard Operating Procedures: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collect blood specimens by venipuncture using winged infusion system and/or syringe system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collect blood specimens by capillary (skin) puncture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collect timed blood specimen draws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collect blood culture specimens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Identify special precautions necessary during blood collections by venipuncture and capillary (skin) puncture.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List and apply the criteria that would lead to rejection or recollection of a patient sample.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utoSpaceDE/>
              <w:autoSpaceDN/>
              <w:ind w:right="-72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Identify and report potential pre-analytical errors that may occur during specimen collection, labeling, transporting and processing.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Follow standard operating procedures for labeling and transport of specimens.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tabs>
                <w:tab w:val="left" w:pos="540"/>
              </w:tabs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 xml:space="preserve">  Describe and follow the criteria for specimens and test results that will be used as legal evidence.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According to standard operating procedures, perform donor screening.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tabs>
                <w:tab w:val="left" w:pos="540"/>
              </w:tabs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Complete donor medical/social history.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Complete measurement of donor temperature.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Complete donor hemoglobin measurement.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Complete blood pressure measurement.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Perform donor pulse rate.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lastRenderedPageBreak/>
              <w:t>Recognize and report abnormal values for vital sign measurements using predetermined criteria.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Perform unit collection procedures as defined by established regulations.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Follow the procedure for donor identification.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Follow the proper skin preparation procedure and describe its importance.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Perform donor collection, donor assessment during and after collection and troubleshooting actions for inadequate blood flow and donor reaction.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tabs>
                <w:tab w:val="left" w:pos="540"/>
              </w:tabs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 xml:space="preserve">   Maintain confidentiality of privileged information on individuals in accordance with HIPAA.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Use information systems necessary to accomplish job functions.</w:t>
            </w:r>
          </w:p>
          <w:p w:rsidR="00B25EEE" w:rsidRDefault="00B25EEE" w:rsidP="00B25EEE">
            <w:pPr>
              <w:adjustRightInd w:val="0"/>
              <w:ind w:left="72"/>
            </w:pPr>
          </w:p>
          <w:p w:rsidR="00B25EEE" w:rsidRPr="00B25EEE" w:rsidRDefault="00B25EEE" w:rsidP="00B25EEE">
            <w:pPr>
              <w:pStyle w:val="BodyText"/>
              <w:numPr>
                <w:ilvl w:val="0"/>
                <w:numId w:val="3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25EEE">
              <w:rPr>
                <w:rFonts w:ascii="Times New Roman" w:hAnsi="Times New Roman" w:cs="Times New Roman"/>
                <w:b w:val="0"/>
                <w:sz w:val="28"/>
                <w:szCs w:val="28"/>
              </w:rPr>
              <w:t>Use common terminology as it relates to the waived testing, point-of-care or clinical laboratory environment.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b/>
                <w:bCs/>
                <w:sz w:val="28"/>
                <w:szCs w:val="28"/>
              </w:rPr>
              <w:t xml:space="preserve">For each </w:t>
            </w:r>
            <w:r w:rsidRPr="00B25EEE">
              <w:rPr>
                <w:sz w:val="28"/>
                <w:szCs w:val="28"/>
              </w:rPr>
              <w:t>departmental waived test(s) appropriate for performance by clinical laboratory assistant level,</w:t>
            </w:r>
            <w:r w:rsidRPr="00B25EEE">
              <w:rPr>
                <w:bCs/>
                <w:sz w:val="28"/>
                <w:szCs w:val="28"/>
              </w:rPr>
              <w:t>students will:</w:t>
            </w:r>
          </w:p>
          <w:p w:rsidR="00B25EEE" w:rsidRPr="00B25EEE" w:rsidRDefault="00B25EEE" w:rsidP="00B25EEE">
            <w:pPr>
              <w:pStyle w:val="BodyText"/>
              <w:numPr>
                <w:ilvl w:val="0"/>
                <w:numId w:val="3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25E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Prepare, store and dispose of specimens for testing according to standard operating procedures.</w:t>
            </w:r>
          </w:p>
          <w:p w:rsidR="00B25EEE" w:rsidRPr="00B25EEE" w:rsidRDefault="00B25EEE" w:rsidP="00B25EEE">
            <w:pPr>
              <w:pStyle w:val="BodyText"/>
              <w:numPr>
                <w:ilvl w:val="0"/>
                <w:numId w:val="32"/>
              </w:numPr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25EEE">
              <w:rPr>
                <w:rFonts w:ascii="Times New Roman" w:hAnsi="Times New Roman" w:cs="Times New Roman"/>
                <w:b w:val="0"/>
                <w:sz w:val="28"/>
                <w:szCs w:val="28"/>
              </w:rPr>
              <w:t>Determine suitability of specimens for clinical chemistry procedures related to: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 xml:space="preserve"> the test requested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 xml:space="preserve">appropriate patient preparation/method of </w:t>
            </w:r>
            <w:r w:rsidRPr="00B25EEE">
              <w:rPr>
                <w:sz w:val="28"/>
                <w:szCs w:val="28"/>
              </w:rPr>
              <w:lastRenderedPageBreak/>
              <w:t>collection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time of collection/processing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storage</w:t>
            </w:r>
          </w:p>
          <w:p w:rsidR="00B25EEE" w:rsidRPr="00B25EEE" w:rsidRDefault="00B25EEE" w:rsidP="00B25EEE">
            <w:pPr>
              <w:numPr>
                <w:ilvl w:val="1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hemolysis/lipemia, interfering substances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Assemble/prepare reagents, standards and controls for tests.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Perform test according to Standard Operating Procedures.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Record results using pre-determined criteria by manual method or computer according to laboratory protocol.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Report STAT results of completed tests according to laboratory protocol.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Recognize critical values and follow established protocol regarding reporting.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Recognize technical testing errors for each test performed.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 xml:space="preserve">Follow established quality control procedures specific to </w:t>
            </w:r>
            <w:r w:rsidRPr="00B25EEE">
              <w:rPr>
                <w:bCs/>
                <w:sz w:val="28"/>
                <w:szCs w:val="28"/>
              </w:rPr>
              <w:t>tests, including maintenance and instrument calibration.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Identify and report control results that do not meet pre-determined criteria.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Maintain inventory control and supplies for clinical chemistry tests.</w:t>
            </w:r>
          </w:p>
          <w:p w:rsidR="00B25EEE" w:rsidRPr="00B25EEE" w:rsidRDefault="00B25EEE" w:rsidP="00B25EEE">
            <w:pPr>
              <w:numPr>
                <w:ilvl w:val="0"/>
                <w:numId w:val="32"/>
              </w:numPr>
              <w:adjustRightInd w:val="0"/>
              <w:rPr>
                <w:sz w:val="28"/>
                <w:szCs w:val="28"/>
              </w:rPr>
            </w:pPr>
            <w:r w:rsidRPr="00B25EEE">
              <w:rPr>
                <w:sz w:val="28"/>
                <w:szCs w:val="28"/>
              </w:rPr>
              <w:t>Use information systems necessary to accomplish job functions.</w:t>
            </w:r>
          </w:p>
          <w:p w:rsidR="00B25EEE" w:rsidRDefault="00B25EEE" w:rsidP="00B25EEE">
            <w:pPr>
              <w:adjustRightInd w:val="0"/>
              <w:ind w:left="72"/>
            </w:pPr>
          </w:p>
        </w:tc>
      </w:tr>
    </w:tbl>
    <w:p w:rsidR="00B25EEE" w:rsidRDefault="00B25EEE">
      <w:pPr>
        <w:tabs>
          <w:tab w:val="decimal" w:pos="270"/>
        </w:tabs>
        <w:ind w:right="1440"/>
      </w:pPr>
    </w:p>
    <w:sectPr w:rsidR="00B25EEE">
      <w:headerReference w:type="default" r:id="rId8"/>
      <w:type w:val="continuous"/>
      <w:pgSz w:w="15840" w:h="12240" w:orient="landscape" w:code="1"/>
      <w:pgMar w:top="720" w:right="720" w:bottom="720" w:left="72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EE" w:rsidRDefault="00B25EEE">
      <w:r>
        <w:separator/>
      </w:r>
    </w:p>
  </w:endnote>
  <w:endnote w:type="continuationSeparator" w:id="0">
    <w:p w:rsidR="00B25EEE" w:rsidRDefault="00B2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EE" w:rsidRDefault="00B25EEE">
      <w:r>
        <w:separator/>
      </w:r>
    </w:p>
  </w:footnote>
  <w:footnote w:type="continuationSeparator" w:id="0">
    <w:p w:rsidR="00B25EEE" w:rsidRDefault="00B2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250"/>
      <w:gridCol w:w="3593"/>
      <w:gridCol w:w="8563"/>
    </w:tblGrid>
    <w:tr w:rsidR="00B25EEE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B25EEE" w:rsidRDefault="00B25EEE">
          <w:r>
            <w:t>Course Number:</w:t>
          </w:r>
        </w:p>
      </w:tc>
      <w:tc>
        <w:tcPr>
          <w:tcW w:w="35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B25EEE" w:rsidRDefault="00B25EEE">
          <w:r>
            <w:t>CLLS 155</w:t>
          </w:r>
        </w:p>
      </w:tc>
      <w:tc>
        <w:tcPr>
          <w:tcW w:w="8563" w:type="dxa"/>
          <w:tcBorders>
            <w:top w:val="nil"/>
            <w:left w:val="nil"/>
            <w:bottom w:val="nil"/>
            <w:right w:val="nil"/>
          </w:tcBorders>
        </w:tcPr>
        <w:p w:rsidR="00B25EEE" w:rsidRDefault="00B25EEE">
          <w:pPr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62E2E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:rsidR="00B25EEE" w:rsidRDefault="00B25EEE">
    <w:pPr>
      <w:ind w:left="1440" w:right="1440"/>
      <w:jc w:val="center"/>
      <w:rPr>
        <w:b/>
        <w:bCs/>
        <w:smallCaps/>
        <w:sz w:val="28"/>
        <w:szCs w:val="28"/>
      </w:rPr>
    </w:pPr>
  </w:p>
  <w:p w:rsidR="00B25EEE" w:rsidRDefault="00B25E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9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C4238"/>
    <w:multiLevelType w:val="hybridMultilevel"/>
    <w:tmpl w:val="46D24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B43AC"/>
    <w:multiLevelType w:val="hybridMultilevel"/>
    <w:tmpl w:val="5E9E47C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846BEC"/>
    <w:multiLevelType w:val="hybridMultilevel"/>
    <w:tmpl w:val="E6B8E03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F70E3D"/>
    <w:multiLevelType w:val="singleLevel"/>
    <w:tmpl w:val="C750FC8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795"/>
      </w:pPr>
      <w:rPr>
        <w:rFonts w:cs="Times New Roman" w:hint="default"/>
      </w:rPr>
    </w:lvl>
  </w:abstractNum>
  <w:abstractNum w:abstractNumId="5">
    <w:nsid w:val="13E575F8"/>
    <w:multiLevelType w:val="hybridMultilevel"/>
    <w:tmpl w:val="8C1A26A4"/>
    <w:lvl w:ilvl="0" w:tplc="15220A10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6">
    <w:nsid w:val="1B454DE4"/>
    <w:multiLevelType w:val="hybridMultilevel"/>
    <w:tmpl w:val="0CB02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C94C22"/>
    <w:multiLevelType w:val="hybridMultilevel"/>
    <w:tmpl w:val="597E9F8A"/>
    <w:lvl w:ilvl="0" w:tplc="2A0A06CE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8543E0"/>
    <w:multiLevelType w:val="hybridMultilevel"/>
    <w:tmpl w:val="6D1C2E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76C73"/>
    <w:multiLevelType w:val="hybridMultilevel"/>
    <w:tmpl w:val="4E2E8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307318"/>
    <w:multiLevelType w:val="hybridMultilevel"/>
    <w:tmpl w:val="86247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F97ADB"/>
    <w:multiLevelType w:val="hybridMultilevel"/>
    <w:tmpl w:val="1286ECF4"/>
    <w:lvl w:ilvl="0" w:tplc="2A0A06CE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16203E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3B7BB0"/>
    <w:multiLevelType w:val="multilevel"/>
    <w:tmpl w:val="04187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5D2867"/>
    <w:multiLevelType w:val="hybridMultilevel"/>
    <w:tmpl w:val="482AF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4831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54A21235"/>
    <w:multiLevelType w:val="hybridMultilevel"/>
    <w:tmpl w:val="6B064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394826"/>
    <w:multiLevelType w:val="singleLevel"/>
    <w:tmpl w:val="279C15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90B4FFF"/>
    <w:multiLevelType w:val="hybridMultilevel"/>
    <w:tmpl w:val="858272B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B64D66"/>
    <w:multiLevelType w:val="hybridMultilevel"/>
    <w:tmpl w:val="7AE65E5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2C644A"/>
    <w:multiLevelType w:val="hybridMultilevel"/>
    <w:tmpl w:val="113A3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177030"/>
    <w:multiLevelType w:val="hybridMultilevel"/>
    <w:tmpl w:val="1286E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03E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0F4C7F"/>
    <w:multiLevelType w:val="hybridMultilevel"/>
    <w:tmpl w:val="4EFEFE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86420C5"/>
    <w:multiLevelType w:val="hybridMultilevel"/>
    <w:tmpl w:val="935CC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D1636F"/>
    <w:multiLevelType w:val="hybridMultilevel"/>
    <w:tmpl w:val="D3A63F80"/>
    <w:lvl w:ilvl="0" w:tplc="2A0A06CE">
      <w:start w:val="2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24">
    <w:nsid w:val="695F39DE"/>
    <w:multiLevelType w:val="multilevel"/>
    <w:tmpl w:val="39C23D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C605ED"/>
    <w:multiLevelType w:val="hybridMultilevel"/>
    <w:tmpl w:val="1048E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306A91"/>
    <w:multiLevelType w:val="hybridMultilevel"/>
    <w:tmpl w:val="04187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9A12D6"/>
    <w:multiLevelType w:val="hybridMultilevel"/>
    <w:tmpl w:val="C28C0C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376B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3012BEF"/>
    <w:multiLevelType w:val="hybridMultilevel"/>
    <w:tmpl w:val="39C23D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A67680"/>
    <w:multiLevelType w:val="hybridMultilevel"/>
    <w:tmpl w:val="4D648B7C"/>
    <w:lvl w:ilvl="0" w:tplc="F91C4B6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31">
    <w:nsid w:val="75BA3465"/>
    <w:multiLevelType w:val="hybridMultilevel"/>
    <w:tmpl w:val="67208EE6"/>
    <w:lvl w:ilvl="0" w:tplc="2A0A06CE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5DB18A3"/>
    <w:multiLevelType w:val="hybridMultilevel"/>
    <w:tmpl w:val="D5547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B63602"/>
    <w:multiLevelType w:val="hybridMultilevel"/>
    <w:tmpl w:val="420C4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6"/>
  </w:num>
  <w:num w:numId="9">
    <w:abstractNumId w:val="21"/>
  </w:num>
  <w:num w:numId="10">
    <w:abstractNumId w:val="19"/>
  </w:num>
  <w:num w:numId="11">
    <w:abstractNumId w:val="9"/>
  </w:num>
  <w:num w:numId="12">
    <w:abstractNumId w:val="22"/>
  </w:num>
  <w:num w:numId="13">
    <w:abstractNumId w:val="32"/>
  </w:num>
  <w:num w:numId="14">
    <w:abstractNumId w:val="18"/>
  </w:num>
  <w:num w:numId="15">
    <w:abstractNumId w:val="30"/>
  </w:num>
  <w:num w:numId="16">
    <w:abstractNumId w:val="0"/>
  </w:num>
  <w:num w:numId="17">
    <w:abstractNumId w:val="14"/>
  </w:num>
  <w:num w:numId="18">
    <w:abstractNumId w:val="28"/>
  </w:num>
  <w:num w:numId="19">
    <w:abstractNumId w:val="10"/>
  </w:num>
  <w:num w:numId="20">
    <w:abstractNumId w:val="7"/>
  </w:num>
  <w:num w:numId="21">
    <w:abstractNumId w:val="33"/>
  </w:num>
  <w:num w:numId="22">
    <w:abstractNumId w:val="20"/>
  </w:num>
  <w:num w:numId="23">
    <w:abstractNumId w:val="31"/>
  </w:num>
  <w:num w:numId="24">
    <w:abstractNumId w:val="11"/>
  </w:num>
  <w:num w:numId="25">
    <w:abstractNumId w:val="23"/>
  </w:num>
  <w:num w:numId="26">
    <w:abstractNumId w:val="29"/>
  </w:num>
  <w:num w:numId="27">
    <w:abstractNumId w:val="24"/>
  </w:num>
  <w:num w:numId="28">
    <w:abstractNumId w:val="13"/>
  </w:num>
  <w:num w:numId="29">
    <w:abstractNumId w:val="1"/>
  </w:num>
  <w:num w:numId="30">
    <w:abstractNumId w:val="26"/>
  </w:num>
  <w:num w:numId="31">
    <w:abstractNumId w:val="12"/>
  </w:num>
  <w:num w:numId="32">
    <w:abstractNumId w:val="25"/>
  </w:num>
  <w:num w:numId="33">
    <w:abstractNumId w:val="2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5C"/>
    <w:rsid w:val="00240A5C"/>
    <w:rsid w:val="009B1D26"/>
    <w:rsid w:val="00B25EEE"/>
    <w:rsid w:val="00B62E2E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E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left" w:pos="0"/>
        <w:tab w:val="left" w:pos="180"/>
      </w:tabs>
      <w:adjustRightInd w:val="0"/>
      <w:ind w:left="450" w:hanging="45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autoSpaceDE/>
      <w:autoSpaceDN/>
      <w:jc w:val="center"/>
      <w:outlineLvl w:val="7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 Rounded MT Bold" w:hAnsi="Arial Rounded MT Bold" w:cs="Arial Rounded MT Bold"/>
      <w:b/>
      <w:bCs/>
      <w:caps/>
      <w:sz w:val="28"/>
      <w:szCs w:val="28"/>
    </w:rPr>
  </w:style>
  <w:style w:type="paragraph" w:styleId="EnvelopeReturn">
    <w:name w:val="envelope return"/>
    <w:basedOn w:val="Normal"/>
    <w:uiPriority w:val="99"/>
    <w:rPr>
      <w:rFonts w:ascii="Arial Narrow" w:hAnsi="Arial Narrow" w:cs="Arial Narrow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ind w:left="864" w:hanging="864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720" w:hanging="72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mall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pPr>
      <w:adjustRightInd w:val="0"/>
    </w:pPr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E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left" w:pos="0"/>
        <w:tab w:val="left" w:pos="180"/>
      </w:tabs>
      <w:adjustRightInd w:val="0"/>
      <w:ind w:left="450" w:hanging="45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autoSpaceDE/>
      <w:autoSpaceDN/>
      <w:jc w:val="center"/>
      <w:outlineLvl w:val="7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 Rounded MT Bold" w:hAnsi="Arial Rounded MT Bold" w:cs="Arial Rounded MT Bold"/>
      <w:b/>
      <w:bCs/>
      <w:caps/>
      <w:sz w:val="28"/>
      <w:szCs w:val="28"/>
    </w:rPr>
  </w:style>
  <w:style w:type="paragraph" w:styleId="EnvelopeReturn">
    <w:name w:val="envelope return"/>
    <w:basedOn w:val="Normal"/>
    <w:uiPriority w:val="99"/>
    <w:rPr>
      <w:rFonts w:ascii="Arial Narrow" w:hAnsi="Arial Narrow" w:cs="Arial Narrow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ind w:left="864" w:hanging="864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720" w:hanging="72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mall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pPr>
      <w:adjustRightInd w:val="0"/>
    </w:pPr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1112</Words>
  <Characters>6343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SPRINGFIELD TECHNICAL COMMUNITY COLLEGE</vt:lpstr>
    </vt:vector>
  </TitlesOfParts>
  <Company>Springfield Technical Community College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SPRINGFIELD TECHNICAL COMMUNITY COLLEGE</dc:title>
  <dc:creator>Mary</dc:creator>
  <cp:lastModifiedBy>Lori Rys Moore</cp:lastModifiedBy>
  <cp:revision>2</cp:revision>
  <cp:lastPrinted>2006-02-10T16:02:00Z</cp:lastPrinted>
  <dcterms:created xsi:type="dcterms:W3CDTF">2012-02-22T17:01:00Z</dcterms:created>
  <dcterms:modified xsi:type="dcterms:W3CDTF">2012-02-22T17:01:00Z</dcterms:modified>
</cp:coreProperties>
</file>