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4" w:after="0" w:line="176" w:lineRule="exact"/>
        <w:ind w:right="2304" w:left="0"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Academic Affairs 11/13</w:t>
      </w:r>
    </w:p>
    <w:p>
      <w:pPr>
        <w:sectPr>
          <w:type w:val="nextPage"/>
          <w:pgSz w:w="15840" w:h="12240" w:orient="landscape"/>
          <w:pgMar w:bottom="350" w:top="440" w:right="11640" w:left="720" w:header="720" w:footer="720"/>
          <w:titlePg w:val="false"/>
          <w:textDirection w:val="lrTb"/>
        </w:sectPr>
      </w:pPr>
    </w:p>
    <w:p>
      <w:pPr>
        <w:spacing w:before="0" w:after="593" w:line="452" w:lineRule="exact"/>
        <w:ind w:right="0" w:left="0" w:firstLine="0"/>
        <w:jc w:val="center"/>
        <w:textAlignment w:val="baseline"/>
        <w:rPr>
          <w:rFonts w:ascii="Times New Roman" w:hAnsi="Times New Roman" w:eastAsia="Times New Roman"/>
          <w:strike w:val="false"/>
          <w:color w:val="000000"/>
          <w:spacing w:val="0"/>
          <w:w w:val="100"/>
          <w:sz w:val="32"/>
          <w:vertAlign w:val="baseline"/>
          <w:lang w:val="en-US"/>
        </w:rPr>
      </w:pPr>
      <w:r>
        <w:rPr>
          <w:rFonts w:ascii="Times New Roman" w:hAnsi="Times New Roman" w:eastAsia="Times New Roman"/>
          <w:strike w:val="false"/>
          <w:color w:val="000000"/>
          <w:spacing w:val="0"/>
          <w:w w:val="100"/>
          <w:sz w:val="32"/>
          <w:vertAlign w:val="baseline"/>
          <w:lang w:val="en-US"/>
        </w:rPr>
        <w:t xml:space="preserve">S</w:t>
      </w:r>
      <w:r>
        <w:rPr>
          <w:rFonts w:ascii="Times New Roman" w:hAnsi="Times New Roman" w:eastAsia="Times New Roman"/>
          <w:strike w:val="false"/>
          <w:color w:val="000000"/>
          <w:spacing w:val="0"/>
          <w:w w:val="100"/>
          <w:sz w:val="26"/>
          <w:vertAlign w:val="baseline"/>
          <w:lang w:val="en-US"/>
        </w:rPr>
        <w:t xml:space="preserve">PRINGFIELD </w:t>
      </w:r>
      <w:r>
        <w:rPr>
          <w:rFonts w:ascii="Times New Roman" w:hAnsi="Times New Roman" w:eastAsia="Times New Roman"/>
          <w:strike w:val="false"/>
          <w:color w:val="000000"/>
          <w:spacing w:val="0"/>
          <w:w w:val="100"/>
          <w:sz w:val="32"/>
          <w:vertAlign w:val="baseline"/>
          <w:lang w:val="en-US"/>
        </w:rPr>
        <w:t xml:space="preserve">T</w:t>
      </w:r>
      <w:r>
        <w:rPr>
          <w:rFonts w:ascii="Times New Roman" w:hAnsi="Times New Roman" w:eastAsia="Times New Roman"/>
          <w:strike w:val="false"/>
          <w:color w:val="000000"/>
          <w:spacing w:val="0"/>
          <w:w w:val="100"/>
          <w:sz w:val="26"/>
          <w:vertAlign w:val="baseline"/>
          <w:lang w:val="en-US"/>
        </w:rPr>
        <w:t xml:space="preserve">ECHNICAL </w:t>
      </w:r>
      <w:r>
        <w:rPr>
          <w:rFonts w:ascii="Times New Roman" w:hAnsi="Times New Roman" w:eastAsia="Times New Roman"/>
          <w:strike w:val="false"/>
          <w:color w:val="000000"/>
          <w:spacing w:val="0"/>
          <w:w w:val="100"/>
          <w:sz w:val="32"/>
          <w:vertAlign w:val="baseline"/>
          <w:lang w:val="en-US"/>
        </w:rPr>
        <w:t xml:space="preserve">C</w:t>
      </w:r>
      <w:r>
        <w:rPr>
          <w:rFonts w:ascii="Times New Roman" w:hAnsi="Times New Roman" w:eastAsia="Times New Roman"/>
          <w:strike w:val="false"/>
          <w:color w:val="000000"/>
          <w:spacing w:val="0"/>
          <w:w w:val="100"/>
          <w:sz w:val="26"/>
          <w:vertAlign w:val="baseline"/>
          <w:lang w:val="en-US"/>
        </w:rPr>
        <w:t xml:space="preserve">OMMUNITY </w:t>
      </w:r>
      <w:r>
        <w:rPr>
          <w:rFonts w:ascii="Times New Roman" w:hAnsi="Times New Roman" w:eastAsia="Times New Roman"/>
          <w:strike w:val="false"/>
          <w:color w:val="000000"/>
          <w:spacing w:val="0"/>
          <w:w w:val="100"/>
          <w:sz w:val="32"/>
          <w:vertAlign w:val="baseline"/>
          <w:lang w:val="en-US"/>
        </w:rPr>
        <w:t xml:space="preserve">C</w:t>
      </w:r>
      <w:r>
        <w:rPr>
          <w:rFonts w:ascii="Times New Roman" w:hAnsi="Times New Roman" w:eastAsia="Times New Roman"/>
          <w:strike w:val="false"/>
          <w:color w:val="000000"/>
          <w:spacing w:val="0"/>
          <w:w w:val="100"/>
          <w:sz w:val="26"/>
          <w:vertAlign w:val="baseline"/>
          <w:lang w:val="en-US"/>
        </w:rPr>
        <w:t xml:space="preserve">OLLEGE
</w:t>
        <w:br/>
      </w:r>
      <w:r>
        <w:rPr>
          <w:rFonts w:ascii="Times New Roman" w:hAnsi="Times New Roman" w:eastAsia="Times New Roman"/>
          <w:b w:val="true"/>
          <w:strike w:val="false"/>
          <w:color w:val="000000"/>
          <w:spacing w:val="0"/>
          <w:w w:val="100"/>
          <w:sz w:val="32"/>
          <w:vertAlign w:val="baseline"/>
          <w:lang w:val="en-US"/>
        </w:rPr>
        <w:t xml:space="preserve">ACADEMIC AFFAIRS</w:t>
      </w:r>
    </w:p>
    <w:p>
      <w:pPr>
        <w:spacing w:before="0" w:after="593" w:line="452" w:lineRule="exact"/>
        <w:sectPr>
          <w:type w:val="continuous"/>
          <w:pgSz w:w="15840" w:h="12240" w:orient="landscape"/>
          <w:pgMar w:bottom="350" w:top="440" w:right="519" w:left="576" w:header="720" w:footer="720"/>
          <w:titlePg w:val="false"/>
          <w:textDirection w:val="lrTb"/>
        </w:sectPr>
      </w:pPr>
    </w:p>
    <w:p>
      <w:pPr>
        <w:spacing w:before="231" w:after="0" w:line="26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Course Number: HIT-155</w:t>
      </w:r>
    </w:p>
    <w:p>
      <w:pPr>
        <w:spacing w:before="0" w:after="0" w:line="249" w:lineRule="exact"/>
        <w:ind w:right="0" w:left="0" w:firstLine="0"/>
        <w:jc w:val="left"/>
        <w:textAlignment w:val="baseline"/>
        <w:rPr>
          <w:rFonts w:ascii="Times New Roman" w:hAnsi="Times New Roman" w:eastAsia="Times New Roman"/>
          <w:strike w:val="false"/>
          <w:color w:val="000000"/>
          <w:spacing w:val="0"/>
          <w:w w:val="100"/>
          <w:sz w:val="22"/>
          <w:vertAlign w:val="baseline"/>
          <w:lang w:val="en-US"/>
        </w:rPr>
      </w:pPr>
      <w:r>
        <w:br w:type="column"/>
      </w:r>
      <w:r>
        <w:rPr>
          <w:rFonts w:ascii="Times New Roman" w:hAnsi="Times New Roman" w:eastAsia="Times New Roman"/>
          <w:strike w:val="false"/>
          <w:color w:val="000000"/>
          <w:spacing w:val="0"/>
          <w:w w:val="100"/>
          <w:sz w:val="22"/>
          <w:vertAlign w:val="baseline"/>
          <w:lang w:val="en-US"/>
        </w:rPr>
        <w:t xml:space="preserve">Class/Lect.</w:t>
      </w:r>
    </w:p>
    <w:p>
      <w:pPr>
        <w:tabs>
          <w:tab w:val="right" w:leader="none" w:pos="1224"/>
        </w:tabs>
        <w:spacing w:before="0" w:after="0" w:line="245" w:lineRule="exact"/>
        <w:ind w:right="0" w:left="0"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Hours:	</w:t>
      </w:r>
      <w:r>
        <w:rPr>
          <w:rFonts w:ascii="Times New Roman" w:hAnsi="Times New Roman" w:eastAsia="Times New Roman"/>
          <w:strike w:val="false"/>
          <w:color w:val="000000"/>
          <w:spacing w:val="0"/>
          <w:w w:val="100"/>
          <w:sz w:val="24"/>
          <w:vertAlign w:val="baseline"/>
          <w:lang w:val="en-US"/>
        </w:rPr>
        <w:t xml:space="preserve">2</w:t>
      </w:r>
    </w:p>
    <w:p>
      <w:pPr>
        <w:spacing w:before="0" w:after="0" w:line="249" w:lineRule="exact"/>
        <w:ind w:right="0" w:left="0" w:firstLine="0"/>
        <w:jc w:val="left"/>
        <w:textAlignment w:val="baseline"/>
        <w:rPr>
          <w:rFonts w:ascii="Times New Roman" w:hAnsi="Times New Roman" w:eastAsia="Times New Roman"/>
          <w:strike w:val="false"/>
          <w:color w:val="000000"/>
          <w:spacing w:val="0"/>
          <w:w w:val="100"/>
          <w:sz w:val="22"/>
          <w:vertAlign w:val="baseline"/>
          <w:lang w:val="en-US"/>
        </w:rPr>
      </w:pPr>
      <w:r>
        <w:br w:type="column"/>
      </w:r>
      <w:r>
        <w:rPr>
          <w:rFonts w:ascii="Times New Roman" w:hAnsi="Times New Roman" w:eastAsia="Times New Roman"/>
          <w:strike w:val="false"/>
          <w:color w:val="000000"/>
          <w:spacing w:val="0"/>
          <w:w w:val="100"/>
          <w:sz w:val="22"/>
          <w:vertAlign w:val="baseline"/>
          <w:lang w:val="en-US"/>
        </w:rPr>
        <w:t xml:space="preserve">Lab</w:t>
      </w:r>
    </w:p>
    <w:p>
      <w:pPr>
        <w:tabs>
          <w:tab w:val="left" w:leader="none" w:pos="1512"/>
          <w:tab w:val="right" w:leader="none" w:pos="3744"/>
        </w:tabs>
        <w:spacing w:before="4" w:after="0" w:line="254" w:lineRule="exact"/>
        <w:ind w:right="0" w:left="0"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Hours:	</w:t>
      </w:r>
      <w:r>
        <w:rPr>
          <w:rFonts w:ascii="Times New Roman" w:hAnsi="Times New Roman" w:eastAsia="Times New Roman"/>
          <w:strike w:val="false"/>
          <w:color w:val="000000"/>
          <w:spacing w:val="0"/>
          <w:w w:val="100"/>
          <w:sz w:val="22"/>
          <w:vertAlign w:val="baseline"/>
          <w:lang w:val="en-US"/>
        </w:rPr>
        <w:t xml:space="preserve">Credits:	</w:t>
      </w:r>
      <w:r>
        <w:rPr>
          <w:rFonts w:ascii="Times New Roman" w:hAnsi="Times New Roman" w:eastAsia="Times New Roman"/>
          <w:strike w:val="false"/>
          <w:color w:val="000000"/>
          <w:spacing w:val="0"/>
          <w:w w:val="100"/>
          <w:sz w:val="24"/>
          <w:vertAlign w:val="baseline"/>
          <w:lang w:val="en-US"/>
        </w:rPr>
        <w:t xml:space="preserve">Dept.:</w:t>
      </w:r>
    </w:p>
    <w:p>
      <w:pPr>
        <w:spacing w:before="0" w:after="18" w:line="25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pict>
          <v:line strokeweight="0.95pt" strokecolor="#000000" from="558pt,142.1pt" to="715.95pt,142.1pt" style="position:absolute;mso-position-horizontal-relative:page;mso-position-vertical-relative:page;">
            <v:stroke dashstyle="solid"/>
          </v:line>
        </w:pict>
      </w:r>
      <w:r>
        <w:pict>
          <v:line strokeweight="0.7pt" strokecolor="#000000" from="324pt,141.6pt" to="360.3pt,141.6pt" style="position:absolute;mso-position-horizontal-relative:page;mso-position-vertical-relative:page;">
            <v:stroke dashstyle="solid"/>
          </v:line>
        </w:pict>
      </w:r>
      <w:r>
        <w:pict>
          <v:line strokeweight="0.95pt" strokecolor="#000000" from="166.55pt,141.85pt" to="270.3pt,141.85pt" style="position:absolute;mso-position-horizontal-relative:page;mso-position-vertical-relative:page;">
            <v:stroke dashstyle="solid"/>
          </v:line>
        </w:pict>
      </w:r>
      <w:r>
        <w:br w:type="column"/>
      </w:r>
      <w:r>
        <w:rPr>
          <w:rFonts w:ascii="Times New Roman" w:hAnsi="Times New Roman" w:eastAsia="Times New Roman"/>
          <w:strike w:val="false"/>
          <w:color w:val="000000"/>
          <w:spacing w:val="0"/>
          <w:w w:val="100"/>
          <w:sz w:val="24"/>
          <w:vertAlign w:val="baseline"/>
          <w:lang w:val="en-US"/>
        </w:rPr>
        <w:t xml:space="preserve">Health Information Technologies</w:t>
      </w:r>
    </w:p>
    <w:p>
      <w:pPr>
        <w:spacing w:before="0" w:after="18" w:line="252" w:lineRule="exact"/>
        <w:sectPr>
          <w:type w:val="continuous"/>
          <w:pgSz w:w="15840" w:h="12240" w:orient="landscape"/>
          <w:pgMar w:bottom="350" w:top="440" w:right="1522" w:left="1574" w:header="720" w:footer="720"/>
          <w:cols w:sep="0" w:num="4" w:space="0" w:equalWidth="0">
            <w:col w:w="2626" w:space="1243"/>
            <w:col w:w="1195" w:space="605"/>
            <w:col w:w="3730" w:space="187"/>
            <w:col w:w="3158" w:space="0"/>
          </w:cols>
          <w:titlePg w:val="false"/>
          <w:textDirection w:val="lrTb"/>
        </w:sectPr>
      </w:pPr>
    </w:p>
    <w:p>
      <w:pPr>
        <w:tabs>
          <w:tab w:val="left" w:leader="none" w:pos="2736"/>
          <w:tab w:val="left" w:leader="none" w:pos="8640"/>
          <w:tab w:val="left" w:leader="none" w:pos="11232"/>
          <w:tab w:val="left" w:leader="none" w:pos="12240"/>
        </w:tabs>
        <w:spacing w:before="234" w:after="0" w:line="268" w:lineRule="exact"/>
        <w:ind w:right="0" w:left="1008" w:firstLine="0"/>
        <w:jc w:val="left"/>
        <w:textAlignment w:val="baseline"/>
        <w:rPr>
          <w:rFonts w:ascii="Times New Roman" w:hAnsi="Times New Roman" w:eastAsia="Times New Roman"/>
          <w:strike w:val="false"/>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2.35pt;height:10.35pt;z-index:-1000;margin-left:31.3pt;margin-top:574.7pt;mso-wrap-distance-left:0pt;mso-wrap-distance-right:0pt;mso-position-horizontal-relative:page;mso-position-vertical-relative:page">
            <w10:wrap type="square" side="both"/>
            <v:fill opacity="1" o:opacity2="1" recolor="f" rotate="f" type="solid"/>
            <v:textbox inset="0pt, 0pt, 0pt, 0pt">
              <w:txbxContent>
                <w:p>
                  <w:pPr>
                    <w:spacing w:before="14" w:after="0" w:line="184" w:lineRule="exact"/>
                    <w:ind w:right="0" w:left="0" w:firstLine="0"/>
                    <w:jc w:val="left"/>
                    <w:textAlignment w:val="baseline"/>
                    <w:rPr>
                      <w:rFonts w:ascii="Times New Roman" w:hAnsi="Times New Roman" w:eastAsia="Times New Roman"/>
                      <w:strike w:val="false"/>
                      <w:color w:val="000000"/>
                      <w:spacing w:val="22"/>
                      <w:w w:val="100"/>
                      <w:sz w:val="18"/>
                      <w:vertAlign w:val="baseline"/>
                      <w:lang w:val="en-US"/>
                    </w:rPr>
                  </w:pPr>
                  <w:r>
                    <w:rPr>
                      <w:rFonts w:ascii="Times New Roman" w:hAnsi="Times New Roman" w:eastAsia="Times New Roman"/>
                      <w:strike w:val="false"/>
                      <w:color w:val="000000"/>
                      <w:spacing w:val="22"/>
                      <w:w w:val="100"/>
                      <w:sz w:val="18"/>
                      <w:vertAlign w:val="baseline"/>
                      <w:lang w:val="en-US"/>
                    </w:rPr>
                    <w:t xml:space="preserve">lrm</w:t>
                  </w:r>
                </w:p>
              </w:txbxContent>
            </v:textbox>
          </v:shape>
        </w:pict>
      </w:r>
      <w:r>
        <w:rPr>
          <w:rFonts w:ascii="Times New Roman" w:hAnsi="Times New Roman" w:eastAsia="Times New Roman"/>
          <w:strike w:val="false"/>
          <w:color w:val="000000"/>
          <w:spacing w:val="0"/>
          <w:w w:val="100"/>
          <w:sz w:val="24"/>
          <w:vertAlign w:val="baseline"/>
          <w:lang w:val="en-US"/>
        </w:rPr>
        <w:t xml:space="preserve">Course Title:	</w:t>
      </w:r>
      <w:r>
        <w:rPr>
          <w:rFonts w:ascii="Times New Roman" w:hAnsi="Times New Roman" w:eastAsia="Times New Roman"/>
          <w:strike w:val="false"/>
          <w:color w:val="000000"/>
          <w:spacing w:val="0"/>
          <w:w w:val="100"/>
          <w:sz w:val="24"/>
          <w:vertAlign w:val="baseline"/>
          <w:lang w:val="en-US"/>
        </w:rPr>
        <w:t xml:space="preserve">Health Claims &amp; Insurance	</w:t>
      </w:r>
      <w:r>
        <w:rPr>
          <w:rFonts w:ascii="Times New Roman" w:hAnsi="Times New Roman" w:eastAsia="Times New Roman"/>
          <w:strike w:val="false"/>
          <w:color w:val="000000"/>
          <w:spacing w:val="0"/>
          <w:w w:val="100"/>
          <w:sz w:val="24"/>
          <w:vertAlign w:val="baseline"/>
          <w:lang w:val="en-US"/>
        </w:rPr>
        <w:t xml:space="preserve">Semester: Fall	</w:t>
      </w:r>
      <w:r>
        <w:rPr>
          <w:rFonts w:ascii="Times New Roman" w:hAnsi="Times New Roman" w:eastAsia="Times New Roman"/>
          <w:strike w:val="false"/>
          <w:color w:val="000000"/>
          <w:spacing w:val="0"/>
          <w:w w:val="100"/>
          <w:sz w:val="24"/>
          <w:vertAlign w:val="baseline"/>
          <w:lang w:val="en-US"/>
        </w:rPr>
        <w:t xml:space="preserve">Year:	</w:t>
      </w:r>
      <w:r>
        <w:rPr>
          <w:rFonts w:ascii="Times New Roman" w:hAnsi="Times New Roman" w:eastAsia="Times New Roman"/>
          <w:strike w:val="false"/>
          <w:color w:val="000000"/>
          <w:spacing w:val="0"/>
          <w:w w:val="100"/>
          <w:sz w:val="24"/>
          <w:vertAlign w:val="baseline"/>
          <w:lang w:val="en-US"/>
        </w:rPr>
        <w:t xml:space="preserve">2015</w:t>
      </w:r>
    </w:p>
    <w:p>
      <w:pPr>
        <w:spacing w:before="305" w:after="0" w:line="321" w:lineRule="exact"/>
        <w:ind w:right="0" w:left="144" w:firstLine="0"/>
        <w:jc w:val="left"/>
        <w:textAlignment w:val="baseline"/>
        <w:rPr>
          <w:rFonts w:ascii="Times New Roman" w:hAnsi="Times New Roman" w:eastAsia="Times New Roman"/>
          <w:b w:val="true"/>
          <w:strike w:val="false"/>
          <w:color w:val="000000"/>
          <w:spacing w:val="0"/>
          <w:w w:val="100"/>
          <w:sz w:val="28"/>
          <w:vertAlign w:val="baseline"/>
          <w:lang w:val="en-US"/>
        </w:rPr>
      </w:pPr>
      <w:r>
        <w:pict>
          <v:line strokeweight="0.7pt" strokecolor="#000000" from="516.7pt,168.25pt" to="589.75pt,168.25pt" style="position:absolute;mso-position-horizontal-relative:page;mso-position-vertical-relative:page;">
            <v:stroke dashstyle="solid"/>
          </v:line>
        </w:pict>
      </w:r>
      <w:r>
        <w:pict>
          <v:line strokeweight="0.95pt" strokecolor="#000000" from="165.85pt,168.5pt" to="459.15pt,168.5pt" style="position:absolute;mso-position-horizontal-relative:page;mso-position-vertical-relative:page;">
            <v:stroke dashstyle="solid"/>
          </v:line>
        </w:pict>
      </w:r>
      <w:r>
        <w:pict>
          <v:line strokeweight="0.95pt" strokecolor="#000000" from="637.45pt,168.5pt" to="715.95pt,168.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28"/>
          <w:vertAlign w:val="baseline"/>
          <w:lang w:val="en-US"/>
        </w:rPr>
        <w:t xml:space="preserve">Course Description, Prerequisite, Corequisite:</w:t>
      </w:r>
    </w:p>
    <w:p>
      <w:pPr>
        <w:spacing w:before="10" w:after="0" w:line="321" w:lineRule="exact"/>
        <w:ind w:right="2664" w:left="504" w:firstLine="0"/>
        <w:jc w:val="left"/>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This course is designed to develop knowledge of various health insurance policies and plans. The student will become proficient in health insurance terminology and concepts. Managed Care models, as well as government, state, commercial, workers compensation, liability and Tricare insurances will be compared and contrasted. Insurance forms and documentation for health claims reimbursement and billing will be utilized. Reimbursement calculations for DRG, capitation, fee for service, risk accounts, Medicare &amp; Medicaid and private insurance will be examined. Students should be competent with the billing process, claim adjudication, managing insurance and patient accounts receivable and collection activity.</w:t>
      </w:r>
    </w:p>
    <w:p>
      <w:pPr>
        <w:spacing w:before="0" w:after="0" w:line="321" w:lineRule="exact"/>
        <w:ind w:right="0" w:left="504" w:firstLine="0"/>
        <w:jc w:val="left"/>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Pre-requisites: NONE</w:t>
      </w:r>
    </w:p>
    <w:p>
      <w:pPr>
        <w:spacing w:before="1" w:after="298" w:line="321" w:lineRule="exact"/>
        <w:ind w:right="0" w:left="504" w:firstLine="0"/>
        <w:jc w:val="left"/>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A final grade of </w:t>
      </w:r>
      <w:r>
        <w:rPr>
          <w:rFonts w:ascii="Times New Roman" w:hAnsi="Times New Roman" w:eastAsia="Times New Roman"/>
          <w:b w:val="true"/>
          <w:strike w:val="false"/>
          <w:color w:val="000000"/>
          <w:spacing w:val="0"/>
          <w:w w:val="100"/>
          <w:sz w:val="28"/>
          <w:vertAlign w:val="baseline"/>
          <w:lang w:val="en-US"/>
        </w:rPr>
        <w:t xml:space="preserve">“</w:t>
      </w:r>
      <w:r>
        <w:rPr>
          <w:rFonts w:ascii="Times New Roman" w:hAnsi="Times New Roman" w:eastAsia="Times New Roman"/>
          <w:b w:val="true"/>
          <w:strike w:val="false"/>
          <w:color w:val="000000"/>
          <w:spacing w:val="0"/>
          <w:w w:val="100"/>
          <w:sz w:val="28"/>
          <w:vertAlign w:val="baseline"/>
          <w:lang w:val="en-US"/>
        </w:rPr>
        <w:t xml:space="preserve">C</w:t>
      </w:r>
      <w:r>
        <w:rPr>
          <w:rFonts w:ascii="Times New Roman" w:hAnsi="Times New Roman" w:eastAsia="Times New Roman"/>
          <w:b w:val="true"/>
          <w:strike w:val="false"/>
          <w:color w:val="000000"/>
          <w:spacing w:val="0"/>
          <w:w w:val="100"/>
          <w:sz w:val="28"/>
          <w:vertAlign w:val="baseline"/>
          <w:lang w:val="en-US"/>
        </w:rPr>
        <w:t xml:space="preserve">” </w:t>
      </w:r>
      <w:r>
        <w:rPr>
          <w:rFonts w:ascii="Times New Roman" w:hAnsi="Times New Roman" w:eastAsia="Times New Roman"/>
          <w:b w:val="true"/>
          <w:strike w:val="false"/>
          <w:color w:val="000000"/>
          <w:spacing w:val="0"/>
          <w:w w:val="100"/>
          <w:sz w:val="28"/>
          <w:vertAlign w:val="baseline"/>
          <w:lang w:val="en-US"/>
        </w:rPr>
        <w:t xml:space="preserve">73% or better is required.</w:t>
      </w:r>
    </w:p>
    <w:p>
      <w:pPr>
        <w:spacing w:before="22" w:after="0" w:line="20" w:lineRule="exact"/>
      </w:pPr>
      <w:r>
        <w:pict>
          <v:line strokeweight="1.7pt" strokecolor="#000000" from="28.8pt,376.3pt" to="761.8pt,376.3pt" style="position:absolute;mso-position-horizontal-relative:page;mso-position-vertical-relative:page;">
            <v:stroke dashstyle="solid"/>
          </v:line>
        </w:pict>
      </w:r>
    </w:p>
    <w:tbl>
      <w:tblPr>
        <w:jc w:val="left"/>
        <w:tblInd w:w="19" w:type="dxa"/>
        <w:tblLayout w:type="fixed"/>
        <w:tblCellMar>
          <w:left w:w="0" w:type="dxa"/>
          <w:right w:w="0" w:type="dxa"/>
        </w:tblCellMar>
      </w:tblPr>
      <w:tblGrid>
        <w:gridCol w:w="7320"/>
        <w:gridCol w:w="7387"/>
      </w:tblGrid>
      <w:tr>
        <w:trPr>
          <w:trHeight w:val="418" w:hRule="exact"/>
        </w:trPr>
        <w:tc>
          <w:tcPr>
            <w:tcW w:w="7339" w:type="auto"/>
            <w:gridSpan w:val="1"/>
            <w:tcBorders>
              <w:top w:val="single" w:sz="13" w:color="000000"/>
              <w:left w:val="single" w:sz="7" w:color="000000"/>
              <w:bottom w:val="single" w:sz="13" w:color="000000"/>
              <w:right w:val="single" w:sz="7" w:color="000000"/>
            </w:tcBorders>
            <w:textDirection w:val="lrTb"/>
            <w:vAlign w:val="center"/>
          </w:tcPr>
          <w:p>
            <w:pPr>
              <w:spacing w:before="67" w:after="25" w:line="321" w:lineRule="exact"/>
              <w:ind w:right="2493" w:left="0" w:firstLine="0"/>
              <w:jc w:val="right"/>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Course Objectives</w:t>
            </w:r>
          </w:p>
        </w:tc>
        <w:tc>
          <w:tcPr>
            <w:tcW w:w="14726" w:type="auto"/>
            <w:gridSpan w:val="1"/>
            <w:tcBorders>
              <w:top w:val="single" w:sz="13" w:color="000000"/>
              <w:left w:val="single" w:sz="7" w:color="000000"/>
              <w:bottom w:val="single" w:sz="13" w:color="000000"/>
              <w:right w:val="single" w:sz="7" w:color="000000"/>
            </w:tcBorders>
            <w:textDirection w:val="lrTb"/>
            <w:vAlign w:val="center"/>
          </w:tcPr>
          <w:p>
            <w:pPr>
              <w:spacing w:before="67" w:after="25" w:line="321"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Competencies</w:t>
            </w:r>
          </w:p>
        </w:tc>
      </w:tr>
      <w:tr>
        <w:trPr>
          <w:trHeight w:val="321" w:hRule="exact"/>
        </w:trPr>
        <w:tc>
          <w:tcPr>
            <w:tcW w:w="7339" w:type="auto"/>
            <w:gridSpan w:val="1"/>
            <w:tcBorders>
              <w:top w:val="single" w:sz="13" w:color="000000"/>
              <w:left w:val="single" w:sz="7" w:color="000000"/>
              <w:bottom w:val="none" w:sz="0" w:color="000000"/>
              <w:right w:val="single" w:sz="7" w:color="000000"/>
            </w:tcBorders>
            <w:textDirection w:val="lrTb"/>
            <w:vAlign w:val="center"/>
          </w:tcPr>
          <w:p>
            <w:pPr>
              <w:spacing w:before="53" w:after="0" w:line="259"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Introduce information about the major insurance programs used in</w:t>
            </w:r>
          </w:p>
        </w:tc>
        <w:tc>
          <w:tcPr>
            <w:tcW w:w="14726" w:type="auto"/>
            <w:gridSpan w:val="1"/>
            <w:tcBorders>
              <w:top w:val="single" w:sz="13" w:color="000000"/>
              <w:left w:val="single" w:sz="7" w:color="000000"/>
              <w:bottom w:val="none" w:sz="0" w:color="000000"/>
              <w:right w:val="single" w:sz="7" w:color="000000"/>
            </w:tcBorders>
            <w:textDirection w:val="lrTb"/>
            <w:vAlign w:val="center"/>
          </w:tcPr>
          <w:p>
            <w:pPr>
              <w:spacing w:before="53" w:after="0" w:line="259"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Ability to understand the nuances of health insurance carriers and plans</w:t>
            </w:r>
          </w:p>
        </w:tc>
      </w:tr>
      <w:tr>
        <w:trPr>
          <w:trHeight w:val="274" w:hRule="exact"/>
        </w:trPr>
        <w:tc>
          <w:tcPr>
            <w:tcW w:w="7339" w:type="auto"/>
            <w:gridSpan w:val="1"/>
            <w:tcBorders>
              <w:top w:val="none" w:sz="0" w:color="000000"/>
              <w:left w:val="single" w:sz="7" w:color="000000"/>
              <w:bottom w:val="none" w:sz="0" w:color="000000"/>
              <w:right w:val="single" w:sz="7" w:color="000000"/>
            </w:tcBorders>
            <w:textDirection w:val="lrTb"/>
            <w:vAlign w:val="center"/>
          </w:tcPr>
          <w:p>
            <w:pPr>
              <w:spacing w:before="0" w:after="0" w:line="258"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healthcare in the United States and regulations that govern these</w:t>
            </w:r>
          </w:p>
        </w:tc>
        <w:tc>
          <w:tcPr>
            <w:tcW w:w="14726" w:type="auto"/>
            <w:gridSpan w:val="1"/>
            <w:tcBorders>
              <w:top w:val="none" w:sz="0" w:color="000000"/>
              <w:left w:val="single" w:sz="7" w:color="000000"/>
              <w:bottom w:val="none" w:sz="0" w:color="000000"/>
              <w:right w:val="single" w:sz="7" w:color="000000"/>
            </w:tcBorders>
            <w:textDirection w:val="lrTb"/>
            <w:vAlign w:val="center"/>
          </w:tcPr>
          <w:p>
            <w:pPr>
              <w:spacing w:before="0" w:after="0" w:line="258"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and how they are governed from the federal, state and insurance</w:t>
            </w:r>
          </w:p>
        </w:tc>
      </w:tr>
      <w:tr>
        <w:trPr>
          <w:trHeight w:val="413" w:hRule="exact"/>
        </w:trPr>
        <w:tc>
          <w:tcPr>
            <w:tcW w:w="7339" w:type="auto"/>
            <w:gridSpan w:val="1"/>
            <w:tcBorders>
              <w:top w:val="none" w:sz="0" w:color="000000"/>
              <w:left w:val="single" w:sz="7" w:color="000000"/>
              <w:bottom w:val="none" w:sz="0" w:color="000000"/>
              <w:right w:val="single" w:sz="7" w:color="000000"/>
            </w:tcBorders>
            <w:textDirection w:val="lrTb"/>
            <w:vAlign w:val="top"/>
          </w:tcPr>
          <w:p>
            <w:pPr>
              <w:spacing w:before="0" w:after="124" w:line="274"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programs.</w:t>
            </w:r>
          </w:p>
        </w:tc>
        <w:tc>
          <w:tcPr>
            <w:tcW w:w="14726" w:type="auto"/>
            <w:gridSpan w:val="1"/>
            <w:tcBorders>
              <w:top w:val="none" w:sz="0" w:color="000000"/>
              <w:left w:val="single" w:sz="7" w:color="000000"/>
              <w:bottom w:val="none" w:sz="0" w:color="000000"/>
              <w:right w:val="single" w:sz="7" w:color="000000"/>
            </w:tcBorders>
            <w:textDirection w:val="lrTb"/>
            <w:vAlign w:val="top"/>
          </w:tcPr>
          <w:p>
            <w:pPr>
              <w:spacing w:before="0" w:after="124" w:line="274"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commissioner’s </w:t>
            </w:r>
            <w:r>
              <w:rPr>
                <w:rFonts w:ascii="Times New Roman" w:hAnsi="Times New Roman" w:eastAsia="Times New Roman"/>
                <w:strike w:val="false"/>
                <w:color w:val="000000"/>
                <w:spacing w:val="0"/>
                <w:w w:val="100"/>
                <w:sz w:val="24"/>
                <w:vertAlign w:val="baseline"/>
                <w:lang w:val="en-US"/>
              </w:rPr>
              <w:t xml:space="preserve">level.</w:t>
            </w:r>
          </w:p>
        </w:tc>
      </w:tr>
      <w:tr>
        <w:trPr>
          <w:trHeight w:val="417" w:hRule="exact"/>
        </w:trPr>
        <w:tc>
          <w:tcPr>
            <w:tcW w:w="7339" w:type="auto"/>
            <w:gridSpan w:val="1"/>
            <w:tcBorders>
              <w:top w:val="none" w:sz="0" w:color="000000"/>
              <w:left w:val="single" w:sz="7" w:color="000000"/>
              <w:bottom w:val="none" w:sz="0" w:color="000000"/>
              <w:right w:val="single" w:sz="7" w:color="000000"/>
            </w:tcBorders>
            <w:textDirection w:val="lrTb"/>
            <w:vAlign w:val="center"/>
          </w:tcPr>
          <w:p>
            <w:pPr>
              <w:spacing w:before="149" w:after="0" w:line="263"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Provide basic knowledge of CPT 4, HCPCS and ICD 10 CM coding</w:t>
            </w:r>
          </w:p>
        </w:tc>
        <w:tc>
          <w:tcPr>
            <w:tcW w:w="14726" w:type="auto"/>
            <w:gridSpan w:val="1"/>
            <w:tcBorders>
              <w:top w:val="none" w:sz="0" w:color="000000"/>
              <w:left w:val="single" w:sz="7" w:color="000000"/>
              <w:bottom w:val="none" w:sz="0" w:color="000000"/>
              <w:right w:val="single" w:sz="7" w:color="000000"/>
            </w:tcBorders>
            <w:textDirection w:val="lrTb"/>
            <w:vAlign w:val="center"/>
          </w:tcPr>
          <w:p>
            <w:pPr>
              <w:spacing w:before="149" w:after="0" w:line="263"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Student should demonstrate the need for procedural and diagnosis</w:t>
            </w:r>
          </w:p>
        </w:tc>
      </w:tr>
      <w:tr>
        <w:trPr>
          <w:trHeight w:val="687" w:hRule="exact"/>
        </w:trPr>
        <w:tc>
          <w:tcPr>
            <w:tcW w:w="7339" w:type="auto"/>
            <w:gridSpan w:val="1"/>
            <w:tcBorders>
              <w:top w:val="none" w:sz="0" w:color="000000"/>
              <w:left w:val="single" w:sz="7" w:color="000000"/>
              <w:bottom w:val="none" w:sz="0" w:color="000000"/>
              <w:right w:val="single" w:sz="7" w:color="000000"/>
            </w:tcBorders>
            <w:textDirection w:val="lrTb"/>
            <w:vAlign w:val="top"/>
          </w:tcPr>
          <w:p>
            <w:pPr>
              <w:spacing w:before="0" w:after="407" w:line="274"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systems.</w:t>
            </w:r>
          </w:p>
        </w:tc>
        <w:tc>
          <w:tcPr>
            <w:tcW w:w="14726" w:type="auto"/>
            <w:gridSpan w:val="1"/>
            <w:tcBorders>
              <w:top w:val="none" w:sz="0" w:color="000000"/>
              <w:left w:val="single" w:sz="7" w:color="000000"/>
              <w:bottom w:val="none" w:sz="0" w:color="000000"/>
              <w:right w:val="single" w:sz="7" w:color="000000"/>
            </w:tcBorders>
            <w:textDirection w:val="lrTb"/>
            <w:vAlign w:val="top"/>
          </w:tcPr>
          <w:p>
            <w:pPr>
              <w:spacing w:before="0" w:after="129" w:line="278" w:lineRule="exact"/>
              <w:ind w:right="504"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coding; medical necessity and how proper/improper use of these codes affect claims and reimbursement.</w:t>
            </w:r>
          </w:p>
        </w:tc>
      </w:tr>
      <w:tr>
        <w:trPr>
          <w:trHeight w:val="417" w:hRule="exact"/>
        </w:trPr>
        <w:tc>
          <w:tcPr>
            <w:tcW w:w="7339" w:type="auto"/>
            <w:gridSpan w:val="1"/>
            <w:tcBorders>
              <w:top w:val="none" w:sz="0" w:color="000000"/>
              <w:left w:val="single" w:sz="7" w:color="000000"/>
              <w:bottom w:val="none" w:sz="0" w:color="000000"/>
              <w:right w:val="single" w:sz="7" w:color="000000"/>
            </w:tcBorders>
            <w:textDirection w:val="lrTb"/>
            <w:vAlign w:val="center"/>
          </w:tcPr>
          <w:p>
            <w:pPr>
              <w:spacing w:before="149" w:after="0" w:line="254"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Simplify the process of completing and submitting outpatient claims on a</w:t>
            </w:r>
          </w:p>
        </w:tc>
        <w:tc>
          <w:tcPr>
            <w:tcW w:w="14726" w:type="auto"/>
            <w:gridSpan w:val="1"/>
            <w:tcBorders>
              <w:top w:val="none" w:sz="0" w:color="000000"/>
              <w:left w:val="single" w:sz="7" w:color="000000"/>
              <w:bottom w:val="none" w:sz="0" w:color="000000"/>
              <w:right w:val="single" w:sz="7" w:color="000000"/>
            </w:tcBorders>
            <w:textDirection w:val="lrTb"/>
            <w:vAlign w:val="center"/>
          </w:tcPr>
          <w:p>
            <w:pPr>
              <w:spacing w:before="149" w:after="0" w:line="254"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Ability to understand the billing process, paper and electronic claim</w:t>
            </w:r>
          </w:p>
        </w:tc>
      </w:tr>
      <w:tr>
        <w:trPr>
          <w:trHeight w:val="845" w:hRule="exact"/>
        </w:trPr>
        <w:tc>
          <w:tcPr>
            <w:tcW w:w="7339" w:type="auto"/>
            <w:gridSpan w:val="1"/>
            <w:tcBorders>
              <w:top w:val="none" w:sz="0" w:color="000000"/>
              <w:left w:val="single" w:sz="7" w:color="000000"/>
              <w:bottom w:val="single" w:sz="7" w:color="000000"/>
              <w:right w:val="single" w:sz="7" w:color="000000"/>
            </w:tcBorders>
            <w:textDirection w:val="lrTb"/>
            <w:vAlign w:val="top"/>
          </w:tcPr>
          <w:p>
            <w:pPr>
              <w:spacing w:before="0" w:after="551" w:line="274"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CMS 1500.</w:t>
            </w:r>
          </w:p>
        </w:tc>
        <w:tc>
          <w:tcPr>
            <w:tcW w:w="14726" w:type="auto"/>
            <w:gridSpan w:val="1"/>
            <w:tcBorders>
              <w:top w:val="none" w:sz="0" w:color="000000"/>
              <w:left w:val="single" w:sz="7" w:color="000000"/>
              <w:bottom w:val="single" w:sz="7" w:color="000000"/>
              <w:right w:val="single" w:sz="7" w:color="000000"/>
            </w:tcBorders>
            <w:textDirection w:val="lrTb"/>
            <w:vAlign w:val="top"/>
          </w:tcPr>
          <w:p>
            <w:pPr>
              <w:spacing w:before="0" w:after="0" w:line="275" w:lineRule="exact"/>
              <w:ind w:right="216"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submission, posting insurance and patient payments, working denials and proper appeal processes. Students will complete CMS 1500 claims forms for sample case studies.</w:t>
            </w:r>
          </w:p>
        </w:tc>
      </w:tr>
    </w:tbl>
    <w:p>
      <w:pPr>
        <w:sectPr>
          <w:type w:val="continuous"/>
          <w:pgSz w:w="15840" w:h="12240" w:orient="landscape"/>
          <w:pgMar w:bottom="350" w:top="440" w:right="519" w:left="576" w:header="720" w:footer="720"/>
          <w:titlePg w:val="false"/>
          <w:textDirection w:val="lrTb"/>
        </w:sectPr>
      </w:pPr>
    </w:p>
    <w:p>
      <w:pPr>
        <w:tabs>
          <w:tab w:val="left" w:leader="none" w:pos="13824"/>
        </w:tabs>
        <w:spacing w:before="5" w:after="683" w:line="276"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en-US"/>
        </w:rPr>
      </w:pPr>
      <w:r>
        <w:pict>
          <v:line strokeweight="1.7pt" strokecolor="#000000" from="27.15pt,81.35pt" to="764.45pt,81.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Course Number:	</w:t>
      </w:r>
      <w:r>
        <w:rPr>
          <w:rFonts w:ascii="Times New Roman" w:hAnsi="Times New Roman" w:eastAsia="Times New Roman"/>
          <w:strike w:val="false"/>
          <w:color w:val="000000"/>
          <w:spacing w:val="0"/>
          <w:w w:val="100"/>
          <w:sz w:val="24"/>
          <w:vertAlign w:val="baseline"/>
          <w:lang w:val="en-US"/>
        </w:rPr>
        <w:t xml:space="preserve">Page 2</w:t>
      </w:r>
    </w:p>
    <w:p>
      <w:pPr>
        <w:spacing w:before="5" w:after="683" w:line="276" w:lineRule="exact"/>
        <w:sectPr>
          <w:type w:val="nextPage"/>
          <w:pgSz w:w="15840" w:h="12240" w:orient="landscape"/>
          <w:pgMar w:bottom="9166" w:top="720" w:right="552" w:left="543" w:header="720" w:footer="720"/>
          <w:titlePg w:val="false"/>
          <w:textDirection w:val="lrTb"/>
        </w:sectPr>
      </w:pPr>
    </w:p>
    <w:p>
      <w:pPr>
        <w:pBdr>
          <w:top w:sz="11" w:space="0" w:color="000000" w:val="single"/>
          <w:left w:sz="11" w:space="0" w:color="000000" w:val="single"/>
          <w:bottom w:sz="11" w:space="0" w:color="000000" w:val="single"/>
          <w:right w:sz="11" w:space="0" w:color="000000" w:val="single"/>
        </w:pBdr>
        <w:spacing w:before="0" w:after="57" w:line="297"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Course Objectives</w:t>
      </w:r>
    </w:p>
    <w:p>
      <w:pPr>
        <w:pBdr>
          <w:top w:sz="9" w:space="0" w:color="000000" w:val="single"/>
          <w:left w:sz="9" w:space="3" w:color="000000" w:val="single"/>
          <w:bottom w:sz="9" w:space="0" w:color="000000" w:val="single"/>
          <w:right w:sz="9" w:space="0" w:color="000000" w:val="single"/>
        </w:pBdr>
        <w:spacing w:before="0"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Introduce the basics of managing an accounts receivable.</w:t>
      </w:r>
    </w:p>
    <w:p>
      <w:pPr>
        <w:pBdr>
          <w:top w:sz="11" w:space="0" w:color="000000" w:val="single"/>
          <w:left w:sz="11" w:space="0" w:color="000000" w:val="single"/>
          <w:bottom w:sz="11" w:space="0" w:color="000000" w:val="single"/>
          <w:right w:sz="11" w:space="0" w:color="000000" w:val="single"/>
        </w:pBdr>
        <w:spacing w:before="0" w:after="57" w:line="297"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br w:type="column"/>
      </w:r>
      <w:r>
        <w:rPr>
          <w:rFonts w:ascii="Times New Roman" w:hAnsi="Times New Roman" w:eastAsia="Times New Roman"/>
          <w:b w:val="true"/>
          <w:strike w:val="false"/>
          <w:color w:val="000000"/>
          <w:spacing w:val="0"/>
          <w:w w:val="100"/>
          <w:sz w:val="28"/>
          <w:vertAlign w:val="baseline"/>
          <w:lang w:val="en-US"/>
        </w:rPr>
        <w:t xml:space="preserve">Competencies</w:t>
      </w:r>
    </w:p>
    <w:p>
      <w:pPr>
        <w:pBdr>
          <w:top w:sz="9" w:space="0" w:color="000000" w:val="single"/>
          <w:left w:sz="9" w:space="3" w:color="000000" w:val="single"/>
          <w:bottom w:sz="9" w:space="0" w:color="000000" w:val="single"/>
          <w:right w:sz="9" w:space="7" w:color="000000" w:val="single"/>
        </w:pBdr>
        <w:spacing w:before="0" w:after="0" w:line="270" w:lineRule="exact"/>
        <w:ind w:right="144" w:left="72"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Students will understand how to work the insurance and patient accounts receivables and how to manage unpaid accounts and collection activities.</w:t>
      </w:r>
    </w:p>
    <w:sectPr>
      <w:type w:val="continuous"/>
      <w:pgSz w:w="15840" w:h="12240" w:orient="landscape"/>
      <w:pgMar w:bottom="9166" w:top="720" w:right="614" w:left="605" w:header="720" w:footer="720"/>
      <w:cols w:sep="0" w:num="2" w:space="0" w:equalWidth="0">
        <w:col w:w="7310" w:space="0"/>
        <w:col w:w="7311"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