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4AA" w:rsidRDefault="009974AA">
      <w:pPr>
        <w:pStyle w:val="Title"/>
        <w:keepNext/>
      </w:pPr>
      <w:bookmarkStart w:id="0" w:name="_GoBack"/>
      <w:bookmarkEnd w:id="0"/>
      <w:r>
        <w:t xml:space="preserve">Springfield </w:t>
      </w:r>
      <w:smartTag w:uri="urn:schemas-microsoft-com:office:smarttags" w:element="PlaceName">
        <w:r>
          <w:t>Technical</w:t>
        </w:r>
      </w:smartTag>
      <w:r>
        <w:t xml:space="preserve"> Community College</w:t>
      </w:r>
    </w:p>
    <w:p w:rsidR="009974AA" w:rsidRDefault="009974AA">
      <w:pPr>
        <w:keepNext/>
        <w:jc w:val="center"/>
        <w:rPr>
          <w:b/>
          <w:smallCaps/>
          <w:sz w:val="14"/>
        </w:rPr>
      </w:pPr>
    </w:p>
    <w:p w:rsidR="009974AA" w:rsidRDefault="009974AA">
      <w:pPr>
        <w:keepNext/>
        <w:jc w:val="center"/>
        <w:rPr>
          <w:b/>
          <w:smallCaps/>
          <w:sz w:val="32"/>
        </w:rPr>
      </w:pPr>
      <w:r>
        <w:rPr>
          <w:b/>
          <w:smallCaps/>
          <w:sz w:val="32"/>
        </w:rPr>
        <w:t>ACADEMIC AFFAIRS</w:t>
      </w:r>
    </w:p>
    <w:p w:rsidR="009974AA" w:rsidRDefault="009974AA">
      <w:pPr>
        <w:keepNext/>
        <w:rPr>
          <w:b/>
          <w:smallCaps/>
          <w:sz w:val="28"/>
        </w:rPr>
      </w:pPr>
    </w:p>
    <w:p w:rsidR="009974AA" w:rsidRDefault="009974AA">
      <w:pPr>
        <w:keepNext/>
        <w:rPr>
          <w:b/>
          <w:smallCaps/>
          <w:sz w:val="28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805"/>
        <w:gridCol w:w="2070"/>
        <w:gridCol w:w="1080"/>
        <w:gridCol w:w="720"/>
        <w:gridCol w:w="810"/>
        <w:gridCol w:w="720"/>
        <w:gridCol w:w="450"/>
        <w:gridCol w:w="450"/>
        <w:gridCol w:w="720"/>
        <w:gridCol w:w="810"/>
        <w:gridCol w:w="630"/>
        <w:gridCol w:w="975"/>
        <w:gridCol w:w="1550"/>
      </w:tblGrid>
      <w:tr w:rsidR="000617DE" w:rsidTr="000E34DF">
        <w:trPr>
          <w:jc w:val="center"/>
        </w:trPr>
        <w:tc>
          <w:tcPr>
            <w:tcW w:w="1805" w:type="dxa"/>
            <w:vAlign w:val="bottom"/>
          </w:tcPr>
          <w:p w:rsidR="000617DE" w:rsidRPr="009C2633" w:rsidRDefault="000617DE">
            <w:pPr>
              <w:keepNext/>
              <w:spacing w:before="240"/>
              <w:rPr>
                <w:szCs w:val="24"/>
              </w:rPr>
            </w:pPr>
            <w:bookmarkStart w:id="1" w:name="DDE_LINK1" w:colFirst="1" w:colLast="1"/>
            <w:r w:rsidRPr="009C2633">
              <w:rPr>
                <w:szCs w:val="24"/>
              </w:rPr>
              <w:t>Course Number:</w:t>
            </w:r>
          </w:p>
        </w:tc>
        <w:tc>
          <w:tcPr>
            <w:tcW w:w="2070" w:type="dxa"/>
            <w:tcBorders>
              <w:bottom w:val="single" w:sz="6" w:space="0" w:color="auto"/>
            </w:tcBorders>
            <w:vAlign w:val="bottom"/>
          </w:tcPr>
          <w:p w:rsidR="000617DE" w:rsidRPr="009C2633" w:rsidRDefault="00FD30F0">
            <w:pPr>
              <w:keepNext/>
              <w:spacing w:before="240"/>
              <w:rPr>
                <w:szCs w:val="24"/>
              </w:rPr>
            </w:pPr>
            <w:r>
              <w:rPr>
                <w:szCs w:val="24"/>
              </w:rPr>
              <w:t>ACC-10</w:t>
            </w:r>
            <w:r w:rsidR="00143AB4">
              <w:rPr>
                <w:szCs w:val="24"/>
              </w:rPr>
              <w:t>2</w:t>
            </w:r>
          </w:p>
        </w:tc>
        <w:tc>
          <w:tcPr>
            <w:tcW w:w="1080" w:type="dxa"/>
            <w:vAlign w:val="bottom"/>
          </w:tcPr>
          <w:p w:rsidR="000617DE" w:rsidRPr="000E34DF" w:rsidRDefault="000617DE" w:rsidP="000E34DF">
            <w:pPr>
              <w:keepNext/>
              <w:spacing w:before="240"/>
              <w:rPr>
                <w:sz w:val="22"/>
                <w:szCs w:val="22"/>
              </w:rPr>
            </w:pPr>
            <w:r w:rsidRPr="000E34DF">
              <w:rPr>
                <w:sz w:val="22"/>
                <w:szCs w:val="22"/>
              </w:rPr>
              <w:t>Class</w:t>
            </w:r>
            <w:r w:rsidR="000E34DF" w:rsidRPr="000E34DF">
              <w:rPr>
                <w:sz w:val="22"/>
                <w:szCs w:val="22"/>
              </w:rPr>
              <w:t>/Lect</w:t>
            </w:r>
            <w:r w:rsidR="000E34DF">
              <w:rPr>
                <w:sz w:val="22"/>
                <w:szCs w:val="22"/>
              </w:rPr>
              <w:t>.</w:t>
            </w:r>
            <w:r w:rsidRPr="000E34DF">
              <w:rPr>
                <w:sz w:val="22"/>
                <w:szCs w:val="22"/>
              </w:rPr>
              <w:t xml:space="preserve"> Hours: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0617DE" w:rsidRPr="009C2633" w:rsidRDefault="002C1AB2" w:rsidP="002C1AB2">
            <w:pPr>
              <w:keepNext/>
              <w:spacing w:before="24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10" w:type="dxa"/>
            <w:vAlign w:val="bottom"/>
          </w:tcPr>
          <w:p w:rsidR="000617DE" w:rsidRPr="000E34DF" w:rsidRDefault="000617DE" w:rsidP="00184C47">
            <w:pPr>
              <w:keepNext/>
              <w:spacing w:before="240"/>
              <w:rPr>
                <w:sz w:val="22"/>
                <w:szCs w:val="22"/>
              </w:rPr>
            </w:pPr>
            <w:r w:rsidRPr="000E34DF">
              <w:rPr>
                <w:sz w:val="22"/>
                <w:szCs w:val="22"/>
              </w:rPr>
              <w:t>Lab Hours: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0617DE" w:rsidRPr="009C2633" w:rsidRDefault="000617DE" w:rsidP="00184C47">
            <w:pPr>
              <w:keepNext/>
              <w:spacing w:before="240"/>
              <w:rPr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0617DE" w:rsidRPr="009C2633" w:rsidRDefault="000E34DF" w:rsidP="000617DE">
            <w:pPr>
              <w:keepNext/>
              <w:spacing w:before="240"/>
              <w:rPr>
                <w:szCs w:val="24"/>
              </w:rPr>
            </w:pPr>
            <w:r>
              <w:rPr>
                <w:sz w:val="22"/>
                <w:szCs w:val="22"/>
              </w:rPr>
              <w:t>Credits</w:t>
            </w:r>
            <w:r w:rsidR="000617DE" w:rsidRPr="000E34DF">
              <w:rPr>
                <w:sz w:val="22"/>
                <w:szCs w:val="22"/>
              </w:rPr>
              <w:t>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0617DE" w:rsidRPr="009C2633" w:rsidRDefault="00596E82" w:rsidP="00596E82">
            <w:pPr>
              <w:keepNext/>
              <w:spacing w:before="24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10" w:type="dxa"/>
            <w:vAlign w:val="bottom"/>
          </w:tcPr>
          <w:p w:rsidR="000617DE" w:rsidRPr="009C2633" w:rsidRDefault="000617DE">
            <w:pPr>
              <w:keepNext/>
              <w:spacing w:before="240"/>
              <w:rPr>
                <w:szCs w:val="24"/>
              </w:rPr>
            </w:pPr>
            <w:r w:rsidRPr="009C2633">
              <w:rPr>
                <w:szCs w:val="24"/>
              </w:rPr>
              <w:t>Dept</w:t>
            </w:r>
            <w:r>
              <w:rPr>
                <w:szCs w:val="24"/>
              </w:rPr>
              <w:t>.:</w:t>
            </w:r>
          </w:p>
        </w:tc>
        <w:tc>
          <w:tcPr>
            <w:tcW w:w="3155" w:type="dxa"/>
            <w:gridSpan w:val="3"/>
            <w:tcBorders>
              <w:bottom w:val="single" w:sz="4" w:space="0" w:color="auto"/>
            </w:tcBorders>
            <w:vAlign w:val="bottom"/>
          </w:tcPr>
          <w:p w:rsidR="000617DE" w:rsidRPr="009C2633" w:rsidRDefault="00FD30F0">
            <w:pPr>
              <w:keepNext/>
              <w:spacing w:before="240"/>
              <w:rPr>
                <w:szCs w:val="24"/>
              </w:rPr>
            </w:pPr>
            <w:r>
              <w:rPr>
                <w:szCs w:val="24"/>
              </w:rPr>
              <w:t>Business Administration</w:t>
            </w:r>
          </w:p>
        </w:tc>
      </w:tr>
      <w:bookmarkEnd w:id="1"/>
      <w:tr w:rsidR="009974AA" w:rsidTr="000E34DF">
        <w:trPr>
          <w:jc w:val="center"/>
        </w:trPr>
        <w:tc>
          <w:tcPr>
            <w:tcW w:w="1805" w:type="dxa"/>
            <w:vAlign w:val="bottom"/>
          </w:tcPr>
          <w:p w:rsidR="009974AA" w:rsidRPr="009C2633" w:rsidRDefault="009974AA">
            <w:pPr>
              <w:keepNext/>
              <w:spacing w:before="240"/>
              <w:rPr>
                <w:szCs w:val="24"/>
              </w:rPr>
            </w:pPr>
            <w:r w:rsidRPr="009C2633">
              <w:rPr>
                <w:szCs w:val="24"/>
              </w:rPr>
              <w:t>Course Title:</w:t>
            </w:r>
          </w:p>
        </w:tc>
        <w:tc>
          <w:tcPr>
            <w:tcW w:w="5850" w:type="dxa"/>
            <w:gridSpan w:val="6"/>
            <w:tcBorders>
              <w:bottom w:val="single" w:sz="6" w:space="0" w:color="auto"/>
            </w:tcBorders>
            <w:vAlign w:val="bottom"/>
          </w:tcPr>
          <w:p w:rsidR="009974AA" w:rsidRPr="009C2633" w:rsidRDefault="00FD30F0">
            <w:pPr>
              <w:keepNext/>
              <w:spacing w:before="240"/>
              <w:rPr>
                <w:szCs w:val="24"/>
              </w:rPr>
            </w:pPr>
            <w:proofErr w:type="spellStart"/>
            <w:r>
              <w:rPr>
                <w:szCs w:val="24"/>
              </w:rPr>
              <w:t>Accouting</w:t>
            </w:r>
            <w:proofErr w:type="spellEnd"/>
            <w:r>
              <w:rPr>
                <w:szCs w:val="24"/>
              </w:rPr>
              <w:t xml:space="preserve"> </w:t>
            </w:r>
            <w:r w:rsidR="00143AB4">
              <w:rPr>
                <w:szCs w:val="24"/>
              </w:rPr>
              <w:t>2</w:t>
            </w:r>
          </w:p>
        </w:tc>
        <w:tc>
          <w:tcPr>
            <w:tcW w:w="1170" w:type="dxa"/>
            <w:gridSpan w:val="2"/>
            <w:vAlign w:val="bottom"/>
          </w:tcPr>
          <w:p w:rsidR="009974AA" w:rsidRPr="009C2633" w:rsidRDefault="009974AA">
            <w:pPr>
              <w:keepNext/>
              <w:spacing w:before="240"/>
              <w:rPr>
                <w:szCs w:val="24"/>
              </w:rPr>
            </w:pPr>
            <w:r w:rsidRPr="009C2633">
              <w:rPr>
                <w:szCs w:val="24"/>
              </w:rPr>
              <w:t>Semester: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:rsidR="009974AA" w:rsidRPr="009C2633" w:rsidRDefault="009C6513">
            <w:pPr>
              <w:keepNext/>
              <w:spacing w:before="240"/>
              <w:rPr>
                <w:szCs w:val="24"/>
              </w:rPr>
            </w:pPr>
            <w:r>
              <w:rPr>
                <w:szCs w:val="24"/>
              </w:rPr>
              <w:t>Fall</w:t>
            </w:r>
          </w:p>
        </w:tc>
        <w:tc>
          <w:tcPr>
            <w:tcW w:w="975" w:type="dxa"/>
            <w:tcBorders>
              <w:top w:val="single" w:sz="6" w:space="0" w:color="auto"/>
            </w:tcBorders>
            <w:vAlign w:val="bottom"/>
          </w:tcPr>
          <w:p w:rsidR="009974AA" w:rsidRPr="009C2633" w:rsidRDefault="009974AA">
            <w:pPr>
              <w:keepNext/>
              <w:spacing w:before="240"/>
              <w:rPr>
                <w:szCs w:val="24"/>
              </w:rPr>
            </w:pPr>
            <w:r w:rsidRPr="009C2633">
              <w:rPr>
                <w:szCs w:val="24"/>
              </w:rPr>
              <w:t>Year: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974AA" w:rsidRPr="009C2633" w:rsidRDefault="009C6513">
            <w:pPr>
              <w:keepNext/>
              <w:spacing w:before="240"/>
              <w:rPr>
                <w:szCs w:val="24"/>
              </w:rPr>
            </w:pPr>
            <w:r>
              <w:rPr>
                <w:szCs w:val="24"/>
              </w:rPr>
              <w:t>2015</w:t>
            </w:r>
          </w:p>
        </w:tc>
      </w:tr>
    </w:tbl>
    <w:p w:rsidR="004B6A41" w:rsidRDefault="004B6A41">
      <w:pPr>
        <w:keepNext/>
        <w:ind w:left="1440" w:right="1440"/>
        <w:rPr>
          <w:b/>
          <w:smallCaps/>
          <w:szCs w:val="24"/>
        </w:rPr>
      </w:pPr>
    </w:p>
    <w:p w:rsidR="009974AA" w:rsidRPr="004B6A41" w:rsidRDefault="000617DE" w:rsidP="004B6A41">
      <w:pPr>
        <w:keepNext/>
        <w:widowControl w:val="0"/>
        <w:ind w:left="360" w:hanging="360"/>
        <w:rPr>
          <w:b/>
          <w:sz w:val="28"/>
        </w:rPr>
      </w:pPr>
      <w:r>
        <w:rPr>
          <w:b/>
          <w:sz w:val="28"/>
        </w:rPr>
        <w:t>Course Description, Prerequisite, Corequisite:</w:t>
      </w: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364"/>
      </w:tblGrid>
      <w:tr w:rsidR="000617DE" w:rsidRPr="000712E1" w:rsidTr="00FD30F0">
        <w:trPr>
          <w:trHeight w:val="1229"/>
        </w:trPr>
        <w:tc>
          <w:tcPr>
            <w:tcW w:w="13364" w:type="dxa"/>
          </w:tcPr>
          <w:p w:rsidR="000617DE" w:rsidRDefault="002C1AB2" w:rsidP="002F06F4">
            <w:pPr>
              <w:rPr>
                <w:sz w:val="28"/>
              </w:rPr>
            </w:pPr>
            <w:r>
              <w:rPr>
                <w:sz w:val="28"/>
              </w:rPr>
              <w:t>This course is des</w:t>
            </w:r>
            <w:r w:rsidR="002F06F4" w:rsidRPr="00596E82">
              <w:rPr>
                <w:sz w:val="28"/>
              </w:rPr>
              <w:t>igned to complete th</w:t>
            </w:r>
            <w:r w:rsidR="003214CB" w:rsidRPr="00596E82">
              <w:rPr>
                <w:sz w:val="28"/>
              </w:rPr>
              <w:t>e</w:t>
            </w:r>
            <w:r w:rsidR="002F06F4" w:rsidRPr="00596E82">
              <w:rPr>
                <w:sz w:val="28"/>
              </w:rPr>
              <w:t xml:space="preserve"> study of financial accounting and introduce managerial accounting. Partnerships are discussed. Corporate topics include formation, issuance of stock, dividends, and investments. Payroll, the st</w:t>
            </w:r>
            <w:r w:rsidR="003214CB" w:rsidRPr="00596E82">
              <w:rPr>
                <w:sz w:val="28"/>
              </w:rPr>
              <w:t>atement of cash flows,</w:t>
            </w:r>
            <w:r>
              <w:rPr>
                <w:sz w:val="28"/>
              </w:rPr>
              <w:t xml:space="preserve"> </w:t>
            </w:r>
            <w:r w:rsidR="003214CB" w:rsidRPr="00596E82">
              <w:rPr>
                <w:sz w:val="28"/>
              </w:rPr>
              <w:t>bonds, and financial analysis are explored. Managerial accounting encompasses an overview of cost concepts, cost-volume-profit analysis, and budgets.</w:t>
            </w:r>
          </w:p>
          <w:p w:rsidR="00596E82" w:rsidRPr="00596E82" w:rsidRDefault="00596E82" w:rsidP="002F06F4">
            <w:pPr>
              <w:rPr>
                <w:sz w:val="28"/>
              </w:rPr>
            </w:pPr>
            <w:r>
              <w:rPr>
                <w:sz w:val="28"/>
              </w:rPr>
              <w:t>Prerequisite: Student must have received a minimum grade of C- or better in Accounting 1 (ACC-101).</w:t>
            </w:r>
          </w:p>
        </w:tc>
      </w:tr>
    </w:tbl>
    <w:p w:rsidR="004B1959" w:rsidRPr="00FD30F0" w:rsidRDefault="004B1959" w:rsidP="004B1959">
      <w:pPr>
        <w:keepNext/>
        <w:ind w:left="1440" w:right="1440"/>
        <w:jc w:val="center"/>
        <w:rPr>
          <w:b/>
          <w:smallCaps/>
          <w:sz w:val="6"/>
          <w:szCs w:val="6"/>
        </w:rPr>
      </w:pPr>
    </w:p>
    <w:p w:rsidR="008A03AD" w:rsidRPr="004B1959" w:rsidRDefault="004B1959" w:rsidP="004B1959">
      <w:pPr>
        <w:keepNext/>
        <w:ind w:left="1440" w:right="1440"/>
        <w:jc w:val="center"/>
        <w:rPr>
          <w:b/>
          <w:smallCaps/>
          <w:sz w:val="36"/>
          <w:szCs w:val="36"/>
        </w:rPr>
      </w:pPr>
      <w:r w:rsidRPr="004B1959">
        <w:rPr>
          <w:b/>
          <w:smallCaps/>
          <w:sz w:val="36"/>
          <w:szCs w:val="36"/>
        </w:rPr>
        <w:t>Objectives/competencies</w:t>
      </w:r>
    </w:p>
    <w:p w:rsidR="004B1959" w:rsidRDefault="004B1959" w:rsidP="004B1959">
      <w:pPr>
        <w:keepNext/>
        <w:ind w:left="1440" w:right="1440"/>
        <w:jc w:val="center"/>
        <w:rPr>
          <w:b/>
          <w:smallCaps/>
          <w:sz w:val="28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308"/>
        <w:gridCol w:w="7290"/>
        <w:gridCol w:w="18"/>
      </w:tblGrid>
      <w:tr w:rsidR="009974AA" w:rsidTr="000617DE">
        <w:trPr>
          <w:tblHeader/>
        </w:trPr>
        <w:tc>
          <w:tcPr>
            <w:tcW w:w="7308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9974AA" w:rsidRDefault="009974AA">
            <w:pPr>
              <w:keepNext/>
              <w:widowControl w:val="0"/>
              <w:ind w:left="360" w:hanging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Course Objective</w:t>
            </w:r>
            <w:r w:rsidR="000617DE">
              <w:rPr>
                <w:b/>
                <w:sz w:val="28"/>
              </w:rPr>
              <w:t>s</w:t>
            </w:r>
          </w:p>
        </w:tc>
        <w:tc>
          <w:tcPr>
            <w:tcW w:w="7308" w:type="dxa"/>
            <w:gridSpan w:val="2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9974AA" w:rsidRDefault="009974AA">
            <w:pPr>
              <w:keepNext/>
              <w:widowControl w:val="0"/>
              <w:ind w:left="252" w:hanging="2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Competencies</w:t>
            </w:r>
          </w:p>
        </w:tc>
      </w:tr>
      <w:tr w:rsidR="00904B56" w:rsidRPr="009C2633" w:rsidTr="000617DE">
        <w:trPr>
          <w:gridAfter w:val="1"/>
          <w:wAfter w:w="18" w:type="dxa"/>
        </w:trPr>
        <w:tc>
          <w:tcPr>
            <w:tcW w:w="73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B56" w:rsidRDefault="00904B56" w:rsidP="00904B56">
            <w:pPr>
              <w:rPr>
                <w:rFonts w:asciiTheme="minorHAnsi" w:hAnsiTheme="minorHAnsi"/>
              </w:rPr>
            </w:pPr>
            <w:r w:rsidRPr="00904B56">
              <w:rPr>
                <w:rFonts w:asciiTheme="minorHAnsi" w:hAnsiTheme="minorHAnsi"/>
              </w:rPr>
              <w:t xml:space="preserve">1.  </w:t>
            </w:r>
            <w:r w:rsidR="00143AB4">
              <w:rPr>
                <w:rFonts w:asciiTheme="minorHAnsi" w:hAnsiTheme="minorHAnsi"/>
              </w:rPr>
              <w:t>Introduce current liabilities and payroll</w:t>
            </w:r>
            <w:r w:rsidR="001C3419">
              <w:rPr>
                <w:rFonts w:asciiTheme="minorHAnsi" w:hAnsiTheme="minorHAnsi"/>
              </w:rPr>
              <w:t xml:space="preserve"> (critical thinking, quantitativ</w:t>
            </w:r>
            <w:r w:rsidR="00CC6CE2">
              <w:rPr>
                <w:rFonts w:asciiTheme="minorHAnsi" w:hAnsiTheme="minorHAnsi"/>
              </w:rPr>
              <w:t>e reasoning, computer literacy)</w:t>
            </w:r>
          </w:p>
          <w:p w:rsidR="00904B56" w:rsidRDefault="00904B56" w:rsidP="00904B56">
            <w:pPr>
              <w:rPr>
                <w:rFonts w:asciiTheme="minorHAnsi" w:hAnsiTheme="minorHAnsi"/>
              </w:rPr>
            </w:pPr>
          </w:p>
          <w:p w:rsidR="00FD30F0" w:rsidRDefault="00FD30F0" w:rsidP="00904B56">
            <w:pPr>
              <w:rPr>
                <w:rFonts w:asciiTheme="minorHAnsi" w:hAnsiTheme="minorHAnsi"/>
              </w:rPr>
            </w:pPr>
          </w:p>
          <w:p w:rsidR="00FD30F0" w:rsidRDefault="00FD30F0" w:rsidP="00904B56">
            <w:pPr>
              <w:rPr>
                <w:rFonts w:asciiTheme="minorHAnsi" w:hAnsiTheme="minorHAnsi"/>
              </w:rPr>
            </w:pPr>
          </w:p>
          <w:p w:rsidR="00904B56" w:rsidRDefault="00904B56" w:rsidP="00904B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2. </w:t>
            </w:r>
            <w:r w:rsidR="007062FC">
              <w:rPr>
                <w:rFonts w:asciiTheme="minorHAnsi" w:hAnsiTheme="minorHAnsi"/>
              </w:rPr>
              <w:t>Examine partnership form of business</w:t>
            </w:r>
            <w:r w:rsidR="001C3419">
              <w:rPr>
                <w:rFonts w:asciiTheme="minorHAnsi" w:hAnsiTheme="minorHAnsi"/>
              </w:rPr>
              <w:t xml:space="preserve"> (critical thinking, quantitative reasoning, computer literacy)</w:t>
            </w:r>
          </w:p>
          <w:p w:rsidR="009C6513" w:rsidRDefault="009C6513" w:rsidP="00904B56">
            <w:pPr>
              <w:rPr>
                <w:rFonts w:asciiTheme="minorHAnsi" w:hAnsiTheme="minorHAnsi"/>
              </w:rPr>
            </w:pPr>
          </w:p>
          <w:p w:rsidR="001C3419" w:rsidRDefault="001C3419" w:rsidP="00904B56">
            <w:pPr>
              <w:rPr>
                <w:rFonts w:asciiTheme="minorHAnsi" w:hAnsiTheme="minorHAnsi"/>
              </w:rPr>
            </w:pPr>
          </w:p>
          <w:p w:rsidR="00FD30F0" w:rsidRDefault="00FD30F0" w:rsidP="00904B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3. </w:t>
            </w:r>
            <w:r w:rsidR="007062FC">
              <w:rPr>
                <w:rFonts w:asciiTheme="minorHAnsi" w:hAnsiTheme="minorHAnsi"/>
              </w:rPr>
              <w:t>Examine corporate form of business</w:t>
            </w:r>
            <w:r w:rsidR="001C3419">
              <w:rPr>
                <w:rFonts w:asciiTheme="minorHAnsi" w:hAnsiTheme="minorHAnsi"/>
              </w:rPr>
              <w:t xml:space="preserve"> (critical thinking, quantitativ</w:t>
            </w:r>
            <w:r w:rsidR="00CC6CE2">
              <w:rPr>
                <w:rFonts w:asciiTheme="minorHAnsi" w:hAnsiTheme="minorHAnsi"/>
              </w:rPr>
              <w:t>e reasoning, computer literacy)</w:t>
            </w:r>
          </w:p>
          <w:p w:rsidR="00FD30F0" w:rsidRDefault="00FD30F0" w:rsidP="00904B56">
            <w:pPr>
              <w:rPr>
                <w:rFonts w:asciiTheme="minorHAnsi" w:hAnsiTheme="minorHAnsi"/>
              </w:rPr>
            </w:pPr>
          </w:p>
          <w:p w:rsidR="00FD30F0" w:rsidRDefault="00FD30F0" w:rsidP="00904B56">
            <w:pPr>
              <w:rPr>
                <w:rFonts w:asciiTheme="minorHAnsi" w:hAnsiTheme="minorHAnsi"/>
              </w:rPr>
            </w:pPr>
          </w:p>
          <w:p w:rsidR="00FD30F0" w:rsidRDefault="00FD30F0" w:rsidP="00904B56">
            <w:pPr>
              <w:rPr>
                <w:rFonts w:asciiTheme="minorHAnsi" w:hAnsiTheme="minorHAnsi"/>
              </w:rPr>
            </w:pPr>
          </w:p>
          <w:p w:rsidR="007062FC" w:rsidRDefault="007062FC" w:rsidP="00904B56">
            <w:pPr>
              <w:rPr>
                <w:rFonts w:asciiTheme="minorHAnsi" w:hAnsiTheme="minorHAnsi"/>
              </w:rPr>
            </w:pPr>
          </w:p>
          <w:p w:rsidR="003214CB" w:rsidRDefault="003214CB" w:rsidP="00904B56">
            <w:pPr>
              <w:rPr>
                <w:rFonts w:asciiTheme="minorHAnsi" w:hAnsiTheme="minorHAnsi"/>
              </w:rPr>
            </w:pPr>
          </w:p>
          <w:p w:rsidR="00FD30F0" w:rsidRDefault="00FD30F0" w:rsidP="00904B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4. </w:t>
            </w:r>
            <w:r w:rsidR="007062FC">
              <w:rPr>
                <w:rFonts w:asciiTheme="minorHAnsi" w:hAnsiTheme="minorHAnsi"/>
              </w:rPr>
              <w:t>Introduc</w:t>
            </w:r>
            <w:r w:rsidR="003214CB">
              <w:rPr>
                <w:rFonts w:asciiTheme="minorHAnsi" w:hAnsiTheme="minorHAnsi"/>
              </w:rPr>
              <w:t>e the long-term liability sectio</w:t>
            </w:r>
            <w:r w:rsidR="007062FC">
              <w:rPr>
                <w:rFonts w:asciiTheme="minorHAnsi" w:hAnsiTheme="minorHAnsi"/>
              </w:rPr>
              <w:t>n of the balance sheet</w:t>
            </w:r>
            <w:r w:rsidR="001C3419">
              <w:rPr>
                <w:rFonts w:asciiTheme="minorHAnsi" w:hAnsiTheme="minorHAnsi"/>
              </w:rPr>
              <w:t xml:space="preserve"> (critical thinking, quantitative rea</w:t>
            </w:r>
            <w:r w:rsidR="00CC6CE2">
              <w:rPr>
                <w:rFonts w:asciiTheme="minorHAnsi" w:hAnsiTheme="minorHAnsi"/>
              </w:rPr>
              <w:t>soning, computer literacy)</w:t>
            </w:r>
          </w:p>
          <w:p w:rsidR="009C6513" w:rsidRDefault="009C6513" w:rsidP="00904B56">
            <w:pPr>
              <w:rPr>
                <w:rFonts w:asciiTheme="minorHAnsi" w:hAnsiTheme="minorHAnsi"/>
              </w:rPr>
            </w:pPr>
          </w:p>
          <w:p w:rsidR="009C6513" w:rsidRDefault="009C6513" w:rsidP="00904B56">
            <w:pPr>
              <w:rPr>
                <w:rFonts w:asciiTheme="minorHAnsi" w:hAnsiTheme="minorHAnsi"/>
              </w:rPr>
            </w:pPr>
          </w:p>
          <w:p w:rsidR="002F06F4" w:rsidRDefault="002F06F4" w:rsidP="00904B56">
            <w:pPr>
              <w:rPr>
                <w:rFonts w:asciiTheme="minorHAnsi" w:hAnsiTheme="minorHAnsi"/>
              </w:rPr>
            </w:pPr>
          </w:p>
          <w:p w:rsidR="009C6513" w:rsidRDefault="009C6513" w:rsidP="00904B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5. </w:t>
            </w:r>
            <w:r w:rsidR="003214CB">
              <w:rPr>
                <w:rFonts w:asciiTheme="minorHAnsi" w:hAnsiTheme="minorHAnsi"/>
              </w:rPr>
              <w:t>Examine c</w:t>
            </w:r>
            <w:r w:rsidR="002F06F4">
              <w:rPr>
                <w:rFonts w:asciiTheme="minorHAnsi" w:hAnsiTheme="minorHAnsi"/>
              </w:rPr>
              <w:t>orporation investments</w:t>
            </w:r>
            <w:r w:rsidR="001C3419">
              <w:rPr>
                <w:rFonts w:asciiTheme="minorHAnsi" w:hAnsiTheme="minorHAnsi"/>
              </w:rPr>
              <w:t xml:space="preserve"> (critical thinking, quantitativ</w:t>
            </w:r>
            <w:r w:rsidR="00CC6CE2">
              <w:rPr>
                <w:rFonts w:asciiTheme="minorHAnsi" w:hAnsiTheme="minorHAnsi"/>
              </w:rPr>
              <w:t>e reasoning, computer literacy)</w:t>
            </w:r>
          </w:p>
          <w:p w:rsidR="002F06F4" w:rsidRDefault="002F06F4" w:rsidP="00904B56">
            <w:pPr>
              <w:rPr>
                <w:rFonts w:asciiTheme="minorHAnsi" w:hAnsiTheme="minorHAnsi"/>
              </w:rPr>
            </w:pPr>
          </w:p>
          <w:p w:rsidR="002F06F4" w:rsidRDefault="002F06F4" w:rsidP="00904B56">
            <w:pPr>
              <w:rPr>
                <w:rFonts w:asciiTheme="minorHAnsi" w:hAnsiTheme="minorHAnsi"/>
              </w:rPr>
            </w:pPr>
          </w:p>
          <w:p w:rsidR="002F06F4" w:rsidRDefault="002F06F4" w:rsidP="00904B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 Introduce the statement of cash flows</w:t>
            </w:r>
            <w:r w:rsidR="001C3419">
              <w:rPr>
                <w:rFonts w:asciiTheme="minorHAnsi" w:hAnsiTheme="minorHAnsi"/>
              </w:rPr>
              <w:t xml:space="preserve"> (critical thinking, quantitativ</w:t>
            </w:r>
            <w:r w:rsidR="00CC6CE2">
              <w:rPr>
                <w:rFonts w:asciiTheme="minorHAnsi" w:hAnsiTheme="minorHAnsi"/>
              </w:rPr>
              <w:t>e reasoning, computer literacy)</w:t>
            </w:r>
          </w:p>
          <w:p w:rsidR="002F06F4" w:rsidRDefault="002F06F4" w:rsidP="00904B56">
            <w:pPr>
              <w:rPr>
                <w:rFonts w:asciiTheme="minorHAnsi" w:hAnsiTheme="minorHAnsi"/>
              </w:rPr>
            </w:pPr>
          </w:p>
          <w:p w:rsidR="002F06F4" w:rsidRDefault="002F06F4" w:rsidP="00904B56">
            <w:pPr>
              <w:rPr>
                <w:rFonts w:asciiTheme="minorHAnsi" w:hAnsiTheme="minorHAnsi"/>
              </w:rPr>
            </w:pPr>
          </w:p>
          <w:p w:rsidR="002F06F4" w:rsidRDefault="002F06F4" w:rsidP="00904B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 Introduce the analysis of financial statements</w:t>
            </w:r>
            <w:r w:rsidR="001C3419">
              <w:rPr>
                <w:rFonts w:asciiTheme="minorHAnsi" w:hAnsiTheme="minorHAnsi"/>
              </w:rPr>
              <w:t xml:space="preserve"> (critical thinking, written and oral communicati</w:t>
            </w:r>
            <w:r w:rsidR="00CC6CE2">
              <w:rPr>
                <w:rFonts w:asciiTheme="minorHAnsi" w:hAnsiTheme="minorHAnsi"/>
              </w:rPr>
              <w:t>o</w:t>
            </w:r>
            <w:r w:rsidR="001C3419">
              <w:rPr>
                <w:rFonts w:asciiTheme="minorHAnsi" w:hAnsiTheme="minorHAnsi"/>
              </w:rPr>
              <w:t xml:space="preserve">n, quantitative reasoning, computer </w:t>
            </w:r>
            <w:r w:rsidR="00CC6CE2">
              <w:rPr>
                <w:rFonts w:asciiTheme="minorHAnsi" w:hAnsiTheme="minorHAnsi"/>
              </w:rPr>
              <w:t>literacy, information literacy)</w:t>
            </w:r>
          </w:p>
          <w:p w:rsidR="002F06F4" w:rsidRDefault="002F06F4" w:rsidP="00904B56">
            <w:pPr>
              <w:rPr>
                <w:rFonts w:asciiTheme="minorHAnsi" w:hAnsiTheme="minorHAnsi"/>
              </w:rPr>
            </w:pPr>
          </w:p>
          <w:p w:rsidR="002F06F4" w:rsidRPr="00904B56" w:rsidRDefault="002F06F4" w:rsidP="00904B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 Introduce managerial accounting</w:t>
            </w:r>
            <w:r w:rsidR="001C3419">
              <w:rPr>
                <w:rFonts w:asciiTheme="minorHAnsi" w:hAnsiTheme="minorHAnsi"/>
              </w:rPr>
              <w:t xml:space="preserve"> (critical thinking, quantitative reasoning, computer literacy)</w:t>
            </w:r>
          </w:p>
        </w:tc>
        <w:tc>
          <w:tcPr>
            <w:tcW w:w="7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B56" w:rsidRPr="00904B56" w:rsidRDefault="00904B56" w:rsidP="00904B56">
            <w:pPr>
              <w:rPr>
                <w:rFonts w:asciiTheme="minorHAnsi" w:hAnsiTheme="minorHAnsi"/>
              </w:rPr>
            </w:pPr>
            <w:r w:rsidRPr="00904B56">
              <w:rPr>
                <w:rFonts w:asciiTheme="minorHAnsi" w:hAnsiTheme="minorHAnsi"/>
              </w:rPr>
              <w:lastRenderedPageBreak/>
              <w:t xml:space="preserve">1.  </w:t>
            </w:r>
            <w:r w:rsidR="00143AB4">
              <w:rPr>
                <w:rFonts w:asciiTheme="minorHAnsi" w:hAnsiTheme="minorHAnsi"/>
              </w:rPr>
              <w:t>Demonstrate the establishment and settlement of accounts and notes payable</w:t>
            </w:r>
          </w:p>
          <w:p w:rsidR="00904B56" w:rsidRPr="00904B56" w:rsidRDefault="00904B56" w:rsidP="00904B56">
            <w:pPr>
              <w:rPr>
                <w:rFonts w:asciiTheme="minorHAnsi" w:hAnsiTheme="minorHAnsi"/>
              </w:rPr>
            </w:pPr>
            <w:r w:rsidRPr="00904B56">
              <w:rPr>
                <w:rFonts w:asciiTheme="minorHAnsi" w:hAnsiTheme="minorHAnsi"/>
              </w:rPr>
              <w:t xml:space="preserve">2.  </w:t>
            </w:r>
            <w:r w:rsidR="00143AB4">
              <w:rPr>
                <w:rFonts w:asciiTheme="minorHAnsi" w:hAnsiTheme="minorHAnsi"/>
              </w:rPr>
              <w:t>Calculate payroll and payroll taxes</w:t>
            </w:r>
          </w:p>
          <w:p w:rsidR="007062FC" w:rsidRDefault="00904B56" w:rsidP="007062FC">
            <w:pPr>
              <w:rPr>
                <w:rFonts w:asciiTheme="minorHAnsi" w:hAnsiTheme="minorHAnsi"/>
              </w:rPr>
            </w:pPr>
            <w:r w:rsidRPr="00904B56">
              <w:rPr>
                <w:rFonts w:asciiTheme="minorHAnsi" w:hAnsiTheme="minorHAnsi"/>
              </w:rPr>
              <w:t xml:space="preserve">3.  </w:t>
            </w:r>
            <w:r w:rsidR="007062FC">
              <w:rPr>
                <w:rFonts w:asciiTheme="minorHAnsi" w:hAnsiTheme="minorHAnsi"/>
              </w:rPr>
              <w:t>Discuss contingent liabilities</w:t>
            </w:r>
            <w:r w:rsidR="009C6513">
              <w:rPr>
                <w:rFonts w:asciiTheme="minorHAnsi" w:hAnsiTheme="minorHAnsi"/>
              </w:rPr>
              <w:t xml:space="preserve"> </w:t>
            </w:r>
          </w:p>
          <w:p w:rsidR="007062FC" w:rsidRDefault="007062FC" w:rsidP="007062FC">
            <w:pPr>
              <w:rPr>
                <w:rFonts w:asciiTheme="minorHAnsi" w:hAnsiTheme="minorHAnsi"/>
              </w:rPr>
            </w:pPr>
          </w:p>
          <w:p w:rsidR="007062FC" w:rsidRDefault="00FD30F0" w:rsidP="007062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1. </w:t>
            </w:r>
            <w:r w:rsidR="007062FC">
              <w:rPr>
                <w:rFonts w:asciiTheme="minorHAnsi" w:hAnsiTheme="minorHAnsi"/>
              </w:rPr>
              <w:t xml:space="preserve">Define the characteristics of the partnership business </w:t>
            </w:r>
          </w:p>
          <w:p w:rsidR="007062FC" w:rsidRDefault="007062FC" w:rsidP="007062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2. Record formation, division of income, and new partner admission </w:t>
            </w:r>
            <w:r w:rsidR="00FD30F0">
              <w:rPr>
                <w:rFonts w:asciiTheme="minorHAnsi" w:hAnsiTheme="minorHAnsi"/>
              </w:rPr>
              <w:t>(critical thinking, quantitati</w:t>
            </w:r>
            <w:r>
              <w:rPr>
                <w:rFonts w:asciiTheme="minorHAnsi" w:hAnsiTheme="minorHAnsi"/>
              </w:rPr>
              <w:t>ve reasoning, computer literacy</w:t>
            </w:r>
          </w:p>
          <w:p w:rsidR="007062FC" w:rsidRDefault="007062FC" w:rsidP="007062FC">
            <w:pPr>
              <w:rPr>
                <w:rFonts w:asciiTheme="minorHAnsi" w:hAnsiTheme="minorHAnsi"/>
              </w:rPr>
            </w:pPr>
          </w:p>
          <w:p w:rsidR="007062FC" w:rsidRDefault="00FD30F0" w:rsidP="007062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1. </w:t>
            </w:r>
            <w:r w:rsidR="007062FC">
              <w:rPr>
                <w:rFonts w:asciiTheme="minorHAnsi" w:hAnsiTheme="minorHAnsi"/>
              </w:rPr>
              <w:t>Define the characteristics of corporations</w:t>
            </w:r>
          </w:p>
          <w:p w:rsidR="007062FC" w:rsidRDefault="007062FC" w:rsidP="007062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 Record formation and issuance of stock</w:t>
            </w:r>
          </w:p>
          <w:p w:rsidR="00FD30F0" w:rsidRDefault="009C6513" w:rsidP="007062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3. </w:t>
            </w:r>
            <w:r w:rsidR="007062FC">
              <w:rPr>
                <w:rFonts w:asciiTheme="minorHAnsi" w:hAnsiTheme="minorHAnsi"/>
              </w:rPr>
              <w:t xml:space="preserve">Prepare the sections of stockholders’ equity </w:t>
            </w:r>
          </w:p>
          <w:p w:rsidR="007062FC" w:rsidRDefault="007062FC" w:rsidP="00904B56">
            <w:pPr>
              <w:keepNext/>
              <w:widowControl w:val="0"/>
              <w:rPr>
                <w:rFonts w:asciiTheme="minorHAnsi" w:hAnsiTheme="minorHAnsi"/>
              </w:rPr>
            </w:pPr>
          </w:p>
          <w:p w:rsidR="009C6513" w:rsidRDefault="007062FC" w:rsidP="00904B56">
            <w:pPr>
              <w:keepNext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 Calculate dividends and stock splits</w:t>
            </w:r>
            <w:r w:rsidR="001C3419">
              <w:rPr>
                <w:rFonts w:asciiTheme="minorHAnsi" w:hAnsiTheme="minorHAnsi"/>
              </w:rPr>
              <w:t xml:space="preserve"> </w:t>
            </w:r>
          </w:p>
          <w:p w:rsidR="001C3419" w:rsidRDefault="001C3419" w:rsidP="00904B56">
            <w:pPr>
              <w:keepNext/>
              <w:widowControl w:val="0"/>
              <w:rPr>
                <w:rFonts w:asciiTheme="minorHAnsi" w:hAnsiTheme="minorHAnsi"/>
              </w:rPr>
            </w:pPr>
          </w:p>
          <w:p w:rsidR="009C6513" w:rsidRDefault="009C6513" w:rsidP="00904B56">
            <w:pPr>
              <w:keepNext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1. </w:t>
            </w:r>
            <w:r w:rsidR="007062FC">
              <w:rPr>
                <w:rFonts w:asciiTheme="minorHAnsi" w:hAnsiTheme="minorHAnsi"/>
              </w:rPr>
              <w:t>Distinguish between current and long-term liabilities</w:t>
            </w:r>
          </w:p>
          <w:p w:rsidR="009C6513" w:rsidRDefault="007062FC" w:rsidP="00904B56">
            <w:pPr>
              <w:keepNext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 Discuss bonds payable financing</w:t>
            </w:r>
          </w:p>
          <w:p w:rsidR="009C6513" w:rsidRDefault="007062FC" w:rsidP="00904B56">
            <w:pPr>
              <w:keepNext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 Record issuance and redemption of bonds</w:t>
            </w:r>
          </w:p>
          <w:p w:rsidR="00904B56" w:rsidRDefault="002F06F4" w:rsidP="00904B56">
            <w:pPr>
              <w:keepNext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4. Define present value concepts </w:t>
            </w:r>
            <w:r w:rsidR="001C3419">
              <w:rPr>
                <w:rFonts w:asciiTheme="minorHAnsi" w:hAnsiTheme="minorHAnsi"/>
              </w:rPr>
              <w:t xml:space="preserve"> </w:t>
            </w:r>
          </w:p>
          <w:p w:rsidR="002F06F4" w:rsidRDefault="002F06F4" w:rsidP="00904B56">
            <w:pPr>
              <w:keepNext/>
              <w:widowControl w:val="0"/>
              <w:rPr>
                <w:rFonts w:asciiTheme="minorHAnsi" w:hAnsiTheme="minorHAnsi"/>
              </w:rPr>
            </w:pPr>
          </w:p>
          <w:p w:rsidR="002F06F4" w:rsidRDefault="002F06F4" w:rsidP="00904B56">
            <w:pPr>
              <w:keepNext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 Review investment objectives</w:t>
            </w:r>
          </w:p>
          <w:p w:rsidR="002F06F4" w:rsidRDefault="002F06F4" w:rsidP="00904B56">
            <w:pPr>
              <w:keepNext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 Differentiate and apply the methods of recording investments (short-term and long-term</w:t>
            </w:r>
            <w:r w:rsidR="001C3419">
              <w:rPr>
                <w:rFonts w:asciiTheme="minorHAnsi" w:hAnsiTheme="minorHAnsi"/>
              </w:rPr>
              <w:t>)</w:t>
            </w:r>
          </w:p>
          <w:p w:rsidR="002F06F4" w:rsidRDefault="002F06F4" w:rsidP="00904B56">
            <w:pPr>
              <w:keepNext/>
              <w:widowControl w:val="0"/>
              <w:rPr>
                <w:rFonts w:asciiTheme="minorHAnsi" w:hAnsiTheme="minorHAnsi"/>
              </w:rPr>
            </w:pPr>
          </w:p>
          <w:p w:rsidR="002F06F4" w:rsidRDefault="003214CB" w:rsidP="00904B56">
            <w:pPr>
              <w:keepNext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 Distinguish between operati</w:t>
            </w:r>
            <w:r w:rsidR="002F06F4">
              <w:rPr>
                <w:rFonts w:asciiTheme="minorHAnsi" w:hAnsiTheme="minorHAnsi"/>
              </w:rPr>
              <w:t>ng, investing, and financing activities</w:t>
            </w:r>
          </w:p>
          <w:p w:rsidR="002F06F4" w:rsidRDefault="002F06F4" w:rsidP="00904B56">
            <w:pPr>
              <w:keepNext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 Prepare the statement of cash flows (critical thinking, quantitative reasoning, computer literacy)</w:t>
            </w:r>
          </w:p>
          <w:p w:rsidR="002F06F4" w:rsidRDefault="002F06F4" w:rsidP="00904B56">
            <w:pPr>
              <w:keepNext/>
              <w:widowControl w:val="0"/>
              <w:rPr>
                <w:rFonts w:asciiTheme="minorHAnsi" w:hAnsiTheme="minorHAnsi"/>
              </w:rPr>
            </w:pPr>
          </w:p>
          <w:p w:rsidR="002F06F4" w:rsidRDefault="002F06F4" w:rsidP="00904B56">
            <w:pPr>
              <w:keepNext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 Calculate financial ratios</w:t>
            </w:r>
          </w:p>
          <w:p w:rsidR="002F06F4" w:rsidRDefault="002F06F4" w:rsidP="00904B56">
            <w:pPr>
              <w:keepNext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 Prepa</w:t>
            </w:r>
            <w:r w:rsidR="001C3419">
              <w:rPr>
                <w:rFonts w:asciiTheme="minorHAnsi" w:hAnsiTheme="minorHAnsi"/>
              </w:rPr>
              <w:t xml:space="preserve">re a financial analysis </w:t>
            </w:r>
          </w:p>
          <w:p w:rsidR="002F06F4" w:rsidRDefault="002F06F4" w:rsidP="00904B56">
            <w:pPr>
              <w:keepNext/>
              <w:widowControl w:val="0"/>
              <w:rPr>
                <w:rFonts w:asciiTheme="minorHAnsi" w:hAnsiTheme="minorHAnsi"/>
              </w:rPr>
            </w:pPr>
          </w:p>
          <w:p w:rsidR="001C3419" w:rsidRDefault="001C3419" w:rsidP="00904B56">
            <w:pPr>
              <w:keepNext/>
              <w:widowControl w:val="0"/>
              <w:rPr>
                <w:rFonts w:asciiTheme="minorHAnsi" w:hAnsiTheme="minorHAnsi"/>
              </w:rPr>
            </w:pPr>
          </w:p>
          <w:p w:rsidR="002F06F4" w:rsidRDefault="002F06F4" w:rsidP="00904B56">
            <w:pPr>
              <w:keepNext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 Compare managerial and financial accounting</w:t>
            </w:r>
          </w:p>
          <w:p w:rsidR="002F06F4" w:rsidRDefault="002F06F4" w:rsidP="00904B56">
            <w:pPr>
              <w:keepNext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 Define managerial accounting terms</w:t>
            </w:r>
          </w:p>
          <w:p w:rsidR="002F06F4" w:rsidRDefault="002F06F4" w:rsidP="00904B56">
            <w:pPr>
              <w:keepNext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 Prepare a statement of cost of goods manufactured</w:t>
            </w:r>
          </w:p>
          <w:p w:rsidR="002F06F4" w:rsidRDefault="002F06F4" w:rsidP="00904B56">
            <w:pPr>
              <w:keepNext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 Prepare cost-volume-profit analysis</w:t>
            </w:r>
          </w:p>
          <w:p w:rsidR="002F06F4" w:rsidRPr="009C6513" w:rsidRDefault="002F06F4" w:rsidP="00904B56">
            <w:pPr>
              <w:keepNext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 Prepare a master budg</w:t>
            </w:r>
            <w:r w:rsidR="001C3419">
              <w:rPr>
                <w:rFonts w:asciiTheme="minorHAnsi" w:hAnsiTheme="minorHAnsi"/>
              </w:rPr>
              <w:t>et</w:t>
            </w:r>
          </w:p>
        </w:tc>
      </w:tr>
    </w:tbl>
    <w:p w:rsidR="0017119B" w:rsidRDefault="0017119B">
      <w:pPr>
        <w:ind w:left="1440" w:right="1440"/>
        <w:jc w:val="center"/>
      </w:pPr>
    </w:p>
    <w:p w:rsidR="009974AA" w:rsidRDefault="009974AA">
      <w:pPr>
        <w:ind w:left="1440" w:right="1440"/>
        <w:jc w:val="center"/>
      </w:pPr>
    </w:p>
    <w:sectPr w:rsidR="009974AA" w:rsidSect="000617DE">
      <w:headerReference w:type="default" r:id="rId7"/>
      <w:headerReference w:type="first" r:id="rId8"/>
      <w:type w:val="continuous"/>
      <w:pgSz w:w="15840" w:h="12240" w:orient="landscape" w:code="1"/>
      <w:pgMar w:top="535" w:right="720" w:bottom="720" w:left="720" w:header="450" w:footer="268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647" w:rsidRDefault="002E6647">
      <w:r>
        <w:separator/>
      </w:r>
    </w:p>
  </w:endnote>
  <w:endnote w:type="continuationSeparator" w:id="0">
    <w:p w:rsidR="002E6647" w:rsidRDefault="002E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647" w:rsidRDefault="002E6647">
      <w:r>
        <w:separator/>
      </w:r>
    </w:p>
  </w:footnote>
  <w:footnote w:type="continuationSeparator" w:id="0">
    <w:p w:rsidR="002E6647" w:rsidRDefault="002E6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AD" w:rsidRDefault="008A03AD"/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250"/>
      <w:gridCol w:w="3593"/>
      <w:gridCol w:w="8563"/>
    </w:tblGrid>
    <w:tr w:rsidR="008A03AD">
      <w:trPr>
        <w:jc w:val="center"/>
      </w:trPr>
      <w:tc>
        <w:tcPr>
          <w:tcW w:w="2250" w:type="dxa"/>
        </w:tcPr>
        <w:p w:rsidR="008A03AD" w:rsidRDefault="008A03AD">
          <w:r>
            <w:t>Course Number:</w:t>
          </w:r>
        </w:p>
      </w:tc>
      <w:tc>
        <w:tcPr>
          <w:tcW w:w="3593" w:type="dxa"/>
          <w:tcBorders>
            <w:bottom w:val="single" w:sz="6" w:space="0" w:color="auto"/>
          </w:tcBorders>
        </w:tcPr>
        <w:p w:rsidR="008A03AD" w:rsidRDefault="002F06F4">
          <w:r>
            <w:t>ACC-102</w:t>
          </w:r>
        </w:p>
      </w:tc>
      <w:tc>
        <w:tcPr>
          <w:tcW w:w="8563" w:type="dxa"/>
        </w:tcPr>
        <w:p w:rsidR="008A03AD" w:rsidRDefault="008A03AD">
          <w:pPr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3F3598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:rsidR="008A03AD" w:rsidRDefault="008A03AD">
    <w:pPr>
      <w:ind w:left="1440" w:right="1440"/>
      <w:jc w:val="center"/>
      <w:rPr>
        <w:b/>
        <w:smallCaps/>
        <w:sz w:val="28"/>
      </w:rPr>
    </w:pPr>
  </w:p>
  <w:p w:rsidR="008A03AD" w:rsidRDefault="008A03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D8B" w:rsidRDefault="00D41D8B">
    <w:pPr>
      <w:pStyle w:val="Header"/>
    </w:pPr>
    <w:r>
      <w:t>Enrollment Management</w:t>
    </w:r>
  </w:p>
  <w:p w:rsidR="00D41D8B" w:rsidRDefault="00D41D8B">
    <w:pPr>
      <w:pStyle w:val="Header"/>
    </w:pPr>
    <w:r>
      <w:t>10/15</w:t>
    </w:r>
  </w:p>
  <w:p w:rsidR="000617DE" w:rsidRPr="000617DE" w:rsidRDefault="000617DE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E0EE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D3477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89E5F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B175DDD"/>
    <w:multiLevelType w:val="hybridMultilevel"/>
    <w:tmpl w:val="5A04C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F0C52"/>
    <w:multiLevelType w:val="singleLevel"/>
    <w:tmpl w:val="5A3C42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0890A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875B94"/>
    <w:multiLevelType w:val="singleLevel"/>
    <w:tmpl w:val="5A3C4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9CD57A6"/>
    <w:multiLevelType w:val="hybridMultilevel"/>
    <w:tmpl w:val="9036F17C"/>
    <w:lvl w:ilvl="0" w:tplc="542A58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F3699BE">
      <w:start w:val="3"/>
      <w:numFmt w:val="decimal"/>
      <w:lvlText w:val="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310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01223C1"/>
    <w:multiLevelType w:val="hybridMultilevel"/>
    <w:tmpl w:val="92844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AA"/>
    <w:rsid w:val="00026B81"/>
    <w:rsid w:val="000617DE"/>
    <w:rsid w:val="000712E1"/>
    <w:rsid w:val="00082B84"/>
    <w:rsid w:val="000B15A0"/>
    <w:rsid w:val="000D39C1"/>
    <w:rsid w:val="000E34DF"/>
    <w:rsid w:val="00143AB4"/>
    <w:rsid w:val="0017119B"/>
    <w:rsid w:val="00184C47"/>
    <w:rsid w:val="001C3419"/>
    <w:rsid w:val="002C1AB2"/>
    <w:rsid w:val="002D1BAE"/>
    <w:rsid w:val="002E6647"/>
    <w:rsid w:val="002F06F4"/>
    <w:rsid w:val="003214CB"/>
    <w:rsid w:val="00325FC4"/>
    <w:rsid w:val="00346F80"/>
    <w:rsid w:val="003A60C6"/>
    <w:rsid w:val="003F3598"/>
    <w:rsid w:val="004B1959"/>
    <w:rsid w:val="004B6A41"/>
    <w:rsid w:val="00596E82"/>
    <w:rsid w:val="005976CB"/>
    <w:rsid w:val="005B348F"/>
    <w:rsid w:val="005E0CAC"/>
    <w:rsid w:val="0069789C"/>
    <w:rsid w:val="007062FC"/>
    <w:rsid w:val="008024DC"/>
    <w:rsid w:val="008841D4"/>
    <w:rsid w:val="008A03AD"/>
    <w:rsid w:val="00904B56"/>
    <w:rsid w:val="00913CBF"/>
    <w:rsid w:val="009547B5"/>
    <w:rsid w:val="00966A6E"/>
    <w:rsid w:val="009974AA"/>
    <w:rsid w:val="009C2633"/>
    <w:rsid w:val="009C6513"/>
    <w:rsid w:val="00A179AB"/>
    <w:rsid w:val="00A34862"/>
    <w:rsid w:val="00AC7126"/>
    <w:rsid w:val="00AF72F9"/>
    <w:rsid w:val="00C12AF7"/>
    <w:rsid w:val="00CC6CE2"/>
    <w:rsid w:val="00D41D8B"/>
    <w:rsid w:val="00DB2A9F"/>
    <w:rsid w:val="00ED3E65"/>
    <w:rsid w:val="00F00AC7"/>
    <w:rsid w:val="00F00F11"/>
    <w:rsid w:val="00F2092F"/>
    <w:rsid w:val="00F31395"/>
    <w:rsid w:val="00FD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63E7A1DF-E2DD-4DC5-A65F-90F8384D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12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C7126"/>
    <w:pPr>
      <w:framePr w:w="7920" w:h="1980" w:hRule="exact" w:hSpace="180" w:wrap="auto" w:hAnchor="page" w:xAlign="center" w:yAlign="bottom"/>
      <w:ind w:left="2880"/>
    </w:pPr>
    <w:rPr>
      <w:rFonts w:ascii="Arial Rounded MT Bold" w:hAnsi="Arial Rounded MT Bold"/>
      <w:b/>
      <w:caps/>
      <w:sz w:val="28"/>
    </w:rPr>
  </w:style>
  <w:style w:type="paragraph" w:styleId="EnvelopeReturn">
    <w:name w:val="envelope return"/>
    <w:basedOn w:val="Normal"/>
    <w:rsid w:val="00AC7126"/>
    <w:rPr>
      <w:rFonts w:ascii="Arial Narrow" w:hAnsi="Arial Narrow"/>
      <w:sz w:val="22"/>
    </w:rPr>
  </w:style>
  <w:style w:type="paragraph" w:styleId="Header">
    <w:name w:val="header"/>
    <w:basedOn w:val="Normal"/>
    <w:link w:val="HeaderChar"/>
    <w:uiPriority w:val="99"/>
    <w:rsid w:val="00AC71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C71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7126"/>
  </w:style>
  <w:style w:type="paragraph" w:styleId="BlockText">
    <w:name w:val="Block Text"/>
    <w:basedOn w:val="Normal"/>
    <w:rsid w:val="00AC7126"/>
    <w:pPr>
      <w:ind w:left="720" w:right="720"/>
    </w:pPr>
  </w:style>
  <w:style w:type="paragraph" w:styleId="Title">
    <w:name w:val="Title"/>
    <w:basedOn w:val="Normal"/>
    <w:qFormat/>
    <w:rsid w:val="00AC7126"/>
    <w:pPr>
      <w:jc w:val="center"/>
    </w:pPr>
    <w:rPr>
      <w:smallCaps/>
      <w:sz w:val="32"/>
    </w:rPr>
  </w:style>
  <w:style w:type="paragraph" w:styleId="BodyText">
    <w:name w:val="Body Text"/>
    <w:basedOn w:val="Normal"/>
    <w:rsid w:val="00AC7126"/>
    <w:rPr>
      <w:sz w:val="28"/>
    </w:rPr>
  </w:style>
  <w:style w:type="character" w:customStyle="1" w:styleId="FooterChar">
    <w:name w:val="Footer Char"/>
    <w:link w:val="Footer"/>
    <w:uiPriority w:val="99"/>
    <w:rsid w:val="0017119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11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0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41D8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Objective/Competencies Template</vt:lpstr>
    </vt:vector>
  </TitlesOfParts>
  <Company>Springfield Technical Community College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Objective/Competencies Template</dc:title>
  <dc:subject/>
  <dc:creator>Lori Rys Moore</dc:creator>
  <cp:keywords/>
  <cp:lastModifiedBy>Jena Truoiolo</cp:lastModifiedBy>
  <cp:revision>2</cp:revision>
  <cp:lastPrinted>2015-12-02T17:27:00Z</cp:lastPrinted>
  <dcterms:created xsi:type="dcterms:W3CDTF">2015-12-07T16:42:00Z</dcterms:created>
  <dcterms:modified xsi:type="dcterms:W3CDTF">2015-12-07T16:42:00Z</dcterms:modified>
</cp:coreProperties>
</file>