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4AA" w:rsidRDefault="009974AA">
      <w:pPr>
        <w:pStyle w:val="Title"/>
        <w:keepNext/>
      </w:pPr>
      <w:bookmarkStart w:id="0" w:name="_GoBack"/>
      <w:bookmarkEnd w:id="0"/>
      <w:r>
        <w:t xml:space="preserve">Springfield </w:t>
      </w:r>
      <w:smartTag w:uri="urn:schemas-microsoft-com:office:smarttags" w:element="PlaceName">
        <w:r>
          <w:t>Technical</w:t>
        </w:r>
      </w:smartTag>
      <w:r>
        <w:t xml:space="preserve"> Community College</w:t>
      </w:r>
    </w:p>
    <w:p w:rsidR="009974AA" w:rsidRDefault="009974AA">
      <w:pPr>
        <w:keepNext/>
        <w:jc w:val="center"/>
        <w:rPr>
          <w:b/>
          <w:smallCaps/>
          <w:sz w:val="14"/>
        </w:rPr>
      </w:pPr>
    </w:p>
    <w:p w:rsidR="009974AA" w:rsidRDefault="009974AA">
      <w:pPr>
        <w:keepNext/>
        <w:jc w:val="center"/>
        <w:rPr>
          <w:b/>
          <w:smallCaps/>
          <w:sz w:val="32"/>
        </w:rPr>
      </w:pPr>
      <w:r>
        <w:rPr>
          <w:b/>
          <w:smallCaps/>
          <w:sz w:val="32"/>
        </w:rPr>
        <w:t>ACADEMIC AFFAIRS</w:t>
      </w:r>
    </w:p>
    <w:p w:rsidR="009974AA" w:rsidRDefault="009974AA">
      <w:pPr>
        <w:keepNext/>
        <w:rPr>
          <w:b/>
          <w:smallCaps/>
          <w:sz w:val="28"/>
        </w:rPr>
      </w:pPr>
    </w:p>
    <w:p w:rsidR="009974AA" w:rsidRDefault="009974AA">
      <w:pPr>
        <w:keepNext/>
        <w:rPr>
          <w:b/>
          <w:smallCaps/>
          <w:sz w:val="28"/>
        </w:rPr>
      </w:pPr>
    </w:p>
    <w:tbl>
      <w:tblPr>
        <w:tblW w:w="0" w:type="auto"/>
        <w:jc w:val="center"/>
        <w:tblLayout w:type="fixed"/>
        <w:tblCellMar>
          <w:left w:w="43" w:type="dxa"/>
          <w:right w:w="43" w:type="dxa"/>
        </w:tblCellMar>
        <w:tblLook w:val="0000" w:firstRow="0" w:lastRow="0" w:firstColumn="0" w:lastColumn="0" w:noHBand="0" w:noVBand="0"/>
      </w:tblPr>
      <w:tblGrid>
        <w:gridCol w:w="1805"/>
        <w:gridCol w:w="2070"/>
        <w:gridCol w:w="1080"/>
        <w:gridCol w:w="720"/>
        <w:gridCol w:w="810"/>
        <w:gridCol w:w="720"/>
        <w:gridCol w:w="450"/>
        <w:gridCol w:w="450"/>
        <w:gridCol w:w="720"/>
        <w:gridCol w:w="810"/>
        <w:gridCol w:w="630"/>
        <w:gridCol w:w="975"/>
        <w:gridCol w:w="1550"/>
      </w:tblGrid>
      <w:tr w:rsidR="000617DE" w:rsidTr="000E34DF">
        <w:trPr>
          <w:jc w:val="center"/>
        </w:trPr>
        <w:tc>
          <w:tcPr>
            <w:tcW w:w="1805" w:type="dxa"/>
            <w:vAlign w:val="bottom"/>
          </w:tcPr>
          <w:p w:rsidR="000617DE" w:rsidRPr="009C2633" w:rsidRDefault="000617DE">
            <w:pPr>
              <w:keepNext/>
              <w:spacing w:before="240"/>
              <w:rPr>
                <w:szCs w:val="24"/>
              </w:rPr>
            </w:pPr>
            <w:bookmarkStart w:id="1" w:name="DDE_LINK1" w:colFirst="1" w:colLast="1"/>
            <w:r w:rsidRPr="009C2633">
              <w:rPr>
                <w:szCs w:val="24"/>
              </w:rPr>
              <w:t>Course Number:</w:t>
            </w:r>
          </w:p>
        </w:tc>
        <w:tc>
          <w:tcPr>
            <w:tcW w:w="2070" w:type="dxa"/>
            <w:tcBorders>
              <w:bottom w:val="single" w:sz="6" w:space="0" w:color="auto"/>
            </w:tcBorders>
            <w:vAlign w:val="bottom"/>
          </w:tcPr>
          <w:p w:rsidR="000617DE" w:rsidRPr="009C2633" w:rsidRDefault="00FD30F0">
            <w:pPr>
              <w:keepNext/>
              <w:spacing w:before="240"/>
              <w:rPr>
                <w:szCs w:val="24"/>
              </w:rPr>
            </w:pPr>
            <w:r>
              <w:rPr>
                <w:szCs w:val="24"/>
              </w:rPr>
              <w:t>ACC-101</w:t>
            </w:r>
          </w:p>
        </w:tc>
        <w:tc>
          <w:tcPr>
            <w:tcW w:w="1080" w:type="dxa"/>
            <w:vAlign w:val="bottom"/>
          </w:tcPr>
          <w:p w:rsidR="000617DE" w:rsidRPr="000E34DF" w:rsidRDefault="000617DE" w:rsidP="000E34DF">
            <w:pPr>
              <w:keepNext/>
              <w:spacing w:before="240"/>
              <w:rPr>
                <w:sz w:val="22"/>
                <w:szCs w:val="22"/>
              </w:rPr>
            </w:pPr>
            <w:r w:rsidRPr="000E34DF">
              <w:rPr>
                <w:sz w:val="22"/>
                <w:szCs w:val="22"/>
              </w:rPr>
              <w:t>Class</w:t>
            </w:r>
            <w:r w:rsidR="000E34DF" w:rsidRPr="000E34DF">
              <w:rPr>
                <w:sz w:val="22"/>
                <w:szCs w:val="22"/>
              </w:rPr>
              <w:t>/Lect</w:t>
            </w:r>
            <w:r w:rsidR="000E34DF">
              <w:rPr>
                <w:sz w:val="22"/>
                <w:szCs w:val="22"/>
              </w:rPr>
              <w:t>.</w:t>
            </w:r>
            <w:r w:rsidRPr="000E34DF">
              <w:rPr>
                <w:sz w:val="22"/>
                <w:szCs w:val="22"/>
              </w:rPr>
              <w:t xml:space="preserve"> Hours:</w:t>
            </w:r>
          </w:p>
        </w:tc>
        <w:tc>
          <w:tcPr>
            <w:tcW w:w="720" w:type="dxa"/>
            <w:tcBorders>
              <w:bottom w:val="single" w:sz="4" w:space="0" w:color="auto"/>
            </w:tcBorders>
            <w:vAlign w:val="bottom"/>
          </w:tcPr>
          <w:p w:rsidR="000617DE" w:rsidRPr="009C2633" w:rsidRDefault="00F62182" w:rsidP="00F62182">
            <w:pPr>
              <w:keepNext/>
              <w:spacing w:before="240"/>
              <w:jc w:val="center"/>
              <w:rPr>
                <w:szCs w:val="24"/>
              </w:rPr>
            </w:pPr>
            <w:r>
              <w:rPr>
                <w:szCs w:val="24"/>
              </w:rPr>
              <w:t>4</w:t>
            </w:r>
          </w:p>
        </w:tc>
        <w:tc>
          <w:tcPr>
            <w:tcW w:w="810" w:type="dxa"/>
            <w:vAlign w:val="bottom"/>
          </w:tcPr>
          <w:p w:rsidR="000617DE" w:rsidRPr="000E34DF" w:rsidRDefault="000617DE" w:rsidP="00184C47">
            <w:pPr>
              <w:keepNext/>
              <w:spacing w:before="240"/>
              <w:rPr>
                <w:sz w:val="22"/>
                <w:szCs w:val="22"/>
              </w:rPr>
            </w:pPr>
            <w:r w:rsidRPr="000E34DF">
              <w:rPr>
                <w:sz w:val="22"/>
                <w:szCs w:val="22"/>
              </w:rPr>
              <w:t>Lab Hours:</w:t>
            </w:r>
          </w:p>
        </w:tc>
        <w:tc>
          <w:tcPr>
            <w:tcW w:w="720" w:type="dxa"/>
            <w:tcBorders>
              <w:bottom w:val="single" w:sz="4" w:space="0" w:color="auto"/>
            </w:tcBorders>
            <w:vAlign w:val="bottom"/>
          </w:tcPr>
          <w:p w:rsidR="000617DE" w:rsidRPr="009C2633" w:rsidRDefault="000617DE" w:rsidP="00184C47">
            <w:pPr>
              <w:keepNext/>
              <w:spacing w:before="240"/>
              <w:rPr>
                <w:szCs w:val="24"/>
              </w:rPr>
            </w:pPr>
          </w:p>
        </w:tc>
        <w:tc>
          <w:tcPr>
            <w:tcW w:w="900" w:type="dxa"/>
            <w:gridSpan w:val="2"/>
            <w:vAlign w:val="bottom"/>
          </w:tcPr>
          <w:p w:rsidR="000617DE" w:rsidRPr="009C2633" w:rsidRDefault="000E34DF" w:rsidP="000617DE">
            <w:pPr>
              <w:keepNext/>
              <w:spacing w:before="240"/>
              <w:rPr>
                <w:szCs w:val="24"/>
              </w:rPr>
            </w:pPr>
            <w:r>
              <w:rPr>
                <w:sz w:val="22"/>
                <w:szCs w:val="22"/>
              </w:rPr>
              <w:t>Credits</w:t>
            </w:r>
            <w:r w:rsidR="000617DE" w:rsidRPr="000E34DF">
              <w:rPr>
                <w:sz w:val="22"/>
                <w:szCs w:val="22"/>
              </w:rPr>
              <w:t>:</w:t>
            </w:r>
          </w:p>
        </w:tc>
        <w:tc>
          <w:tcPr>
            <w:tcW w:w="720" w:type="dxa"/>
            <w:tcBorders>
              <w:bottom w:val="single" w:sz="4" w:space="0" w:color="auto"/>
            </w:tcBorders>
            <w:vAlign w:val="bottom"/>
          </w:tcPr>
          <w:p w:rsidR="000617DE" w:rsidRPr="009C2633" w:rsidRDefault="00FD6243" w:rsidP="00FD6243">
            <w:pPr>
              <w:keepNext/>
              <w:spacing w:before="240"/>
              <w:jc w:val="center"/>
              <w:rPr>
                <w:szCs w:val="24"/>
              </w:rPr>
            </w:pPr>
            <w:r>
              <w:rPr>
                <w:szCs w:val="24"/>
              </w:rPr>
              <w:t>4</w:t>
            </w:r>
          </w:p>
        </w:tc>
        <w:tc>
          <w:tcPr>
            <w:tcW w:w="810" w:type="dxa"/>
            <w:vAlign w:val="bottom"/>
          </w:tcPr>
          <w:p w:rsidR="000617DE" w:rsidRPr="009C2633" w:rsidRDefault="000617DE">
            <w:pPr>
              <w:keepNext/>
              <w:spacing w:before="240"/>
              <w:rPr>
                <w:szCs w:val="24"/>
              </w:rPr>
            </w:pPr>
            <w:r w:rsidRPr="009C2633">
              <w:rPr>
                <w:szCs w:val="24"/>
              </w:rPr>
              <w:t>Dept</w:t>
            </w:r>
            <w:r>
              <w:rPr>
                <w:szCs w:val="24"/>
              </w:rPr>
              <w:t>.:</w:t>
            </w:r>
          </w:p>
        </w:tc>
        <w:tc>
          <w:tcPr>
            <w:tcW w:w="3155" w:type="dxa"/>
            <w:gridSpan w:val="3"/>
            <w:tcBorders>
              <w:bottom w:val="single" w:sz="4" w:space="0" w:color="auto"/>
            </w:tcBorders>
            <w:vAlign w:val="bottom"/>
          </w:tcPr>
          <w:p w:rsidR="000617DE" w:rsidRPr="009C2633" w:rsidRDefault="00FD30F0">
            <w:pPr>
              <w:keepNext/>
              <w:spacing w:before="240"/>
              <w:rPr>
                <w:szCs w:val="24"/>
              </w:rPr>
            </w:pPr>
            <w:r>
              <w:rPr>
                <w:szCs w:val="24"/>
              </w:rPr>
              <w:t>Business Administration</w:t>
            </w:r>
          </w:p>
        </w:tc>
      </w:tr>
      <w:bookmarkEnd w:id="1"/>
      <w:tr w:rsidR="009974AA" w:rsidTr="000E34DF">
        <w:trPr>
          <w:jc w:val="center"/>
        </w:trPr>
        <w:tc>
          <w:tcPr>
            <w:tcW w:w="1805" w:type="dxa"/>
            <w:vAlign w:val="bottom"/>
          </w:tcPr>
          <w:p w:rsidR="009974AA" w:rsidRPr="009C2633" w:rsidRDefault="009974AA">
            <w:pPr>
              <w:keepNext/>
              <w:spacing w:before="240"/>
              <w:rPr>
                <w:szCs w:val="24"/>
              </w:rPr>
            </w:pPr>
            <w:r w:rsidRPr="009C2633">
              <w:rPr>
                <w:szCs w:val="24"/>
              </w:rPr>
              <w:t>Course Title:</w:t>
            </w:r>
          </w:p>
        </w:tc>
        <w:tc>
          <w:tcPr>
            <w:tcW w:w="5850" w:type="dxa"/>
            <w:gridSpan w:val="6"/>
            <w:tcBorders>
              <w:bottom w:val="single" w:sz="6" w:space="0" w:color="auto"/>
            </w:tcBorders>
            <w:vAlign w:val="bottom"/>
          </w:tcPr>
          <w:p w:rsidR="009974AA" w:rsidRPr="009C2633" w:rsidRDefault="00FD30F0">
            <w:pPr>
              <w:keepNext/>
              <w:spacing w:before="240"/>
              <w:rPr>
                <w:szCs w:val="24"/>
              </w:rPr>
            </w:pPr>
            <w:proofErr w:type="spellStart"/>
            <w:r>
              <w:rPr>
                <w:szCs w:val="24"/>
              </w:rPr>
              <w:t>Accouting</w:t>
            </w:r>
            <w:proofErr w:type="spellEnd"/>
            <w:r>
              <w:rPr>
                <w:szCs w:val="24"/>
              </w:rPr>
              <w:t xml:space="preserve"> 1</w:t>
            </w:r>
          </w:p>
        </w:tc>
        <w:tc>
          <w:tcPr>
            <w:tcW w:w="1170" w:type="dxa"/>
            <w:gridSpan w:val="2"/>
            <w:vAlign w:val="bottom"/>
          </w:tcPr>
          <w:p w:rsidR="009974AA" w:rsidRPr="009C2633" w:rsidRDefault="009974AA">
            <w:pPr>
              <w:keepNext/>
              <w:spacing w:before="240"/>
              <w:rPr>
                <w:szCs w:val="24"/>
              </w:rPr>
            </w:pPr>
            <w:r w:rsidRPr="009C2633">
              <w:rPr>
                <w:szCs w:val="24"/>
              </w:rPr>
              <w:t>Semester:</w:t>
            </w:r>
          </w:p>
        </w:tc>
        <w:tc>
          <w:tcPr>
            <w:tcW w:w="1440" w:type="dxa"/>
            <w:gridSpan w:val="2"/>
            <w:tcBorders>
              <w:bottom w:val="single" w:sz="4" w:space="0" w:color="auto"/>
            </w:tcBorders>
            <w:vAlign w:val="bottom"/>
          </w:tcPr>
          <w:p w:rsidR="009974AA" w:rsidRPr="009C2633" w:rsidRDefault="009C6513">
            <w:pPr>
              <w:keepNext/>
              <w:spacing w:before="240"/>
              <w:rPr>
                <w:szCs w:val="24"/>
              </w:rPr>
            </w:pPr>
            <w:r>
              <w:rPr>
                <w:szCs w:val="24"/>
              </w:rPr>
              <w:t>Fall</w:t>
            </w:r>
          </w:p>
        </w:tc>
        <w:tc>
          <w:tcPr>
            <w:tcW w:w="975" w:type="dxa"/>
            <w:tcBorders>
              <w:top w:val="single" w:sz="6" w:space="0" w:color="auto"/>
            </w:tcBorders>
            <w:vAlign w:val="bottom"/>
          </w:tcPr>
          <w:p w:rsidR="009974AA" w:rsidRPr="009C2633" w:rsidRDefault="009974AA">
            <w:pPr>
              <w:keepNext/>
              <w:spacing w:before="240"/>
              <w:rPr>
                <w:szCs w:val="24"/>
              </w:rPr>
            </w:pPr>
            <w:r w:rsidRPr="009C2633">
              <w:rPr>
                <w:szCs w:val="24"/>
              </w:rPr>
              <w:t>Year:</w:t>
            </w:r>
          </w:p>
        </w:tc>
        <w:tc>
          <w:tcPr>
            <w:tcW w:w="1550" w:type="dxa"/>
            <w:tcBorders>
              <w:top w:val="single" w:sz="6" w:space="0" w:color="auto"/>
              <w:bottom w:val="single" w:sz="6" w:space="0" w:color="auto"/>
            </w:tcBorders>
            <w:vAlign w:val="bottom"/>
          </w:tcPr>
          <w:p w:rsidR="009974AA" w:rsidRPr="009C2633" w:rsidRDefault="009C6513">
            <w:pPr>
              <w:keepNext/>
              <w:spacing w:before="240"/>
              <w:rPr>
                <w:szCs w:val="24"/>
              </w:rPr>
            </w:pPr>
            <w:r>
              <w:rPr>
                <w:szCs w:val="24"/>
              </w:rPr>
              <w:t>2015</w:t>
            </w:r>
          </w:p>
        </w:tc>
      </w:tr>
    </w:tbl>
    <w:p w:rsidR="004B6A41" w:rsidRDefault="004B6A41">
      <w:pPr>
        <w:keepNext/>
        <w:ind w:left="1440" w:right="1440"/>
        <w:rPr>
          <w:b/>
          <w:smallCaps/>
          <w:szCs w:val="24"/>
        </w:rPr>
      </w:pPr>
    </w:p>
    <w:p w:rsidR="009974AA" w:rsidRPr="004B6A41" w:rsidRDefault="000617DE" w:rsidP="004B6A41">
      <w:pPr>
        <w:keepNext/>
        <w:widowControl w:val="0"/>
        <w:ind w:left="360" w:hanging="360"/>
        <w:rPr>
          <w:b/>
          <w:sz w:val="28"/>
        </w:rPr>
      </w:pPr>
      <w:r>
        <w:rPr>
          <w:b/>
          <w:sz w:val="28"/>
        </w:rPr>
        <w:t>Course Description, Prerequisite, Corequisite:</w:t>
      </w:r>
    </w:p>
    <w:tbl>
      <w:tblPr>
        <w:tblStyle w:val="TableGrid"/>
        <w:tblW w:w="0" w:type="auto"/>
        <w:tblInd w:w="37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3364"/>
      </w:tblGrid>
      <w:tr w:rsidR="000617DE" w:rsidRPr="000712E1" w:rsidTr="00FD30F0">
        <w:trPr>
          <w:trHeight w:val="1229"/>
        </w:trPr>
        <w:tc>
          <w:tcPr>
            <w:tcW w:w="13364" w:type="dxa"/>
          </w:tcPr>
          <w:p w:rsidR="00FD6243" w:rsidRPr="00F62182" w:rsidRDefault="00904B56" w:rsidP="00904B56">
            <w:pPr>
              <w:rPr>
                <w:rFonts w:asciiTheme="minorHAnsi" w:hAnsiTheme="minorHAnsi" w:cs="Arial"/>
                <w:color w:val="000000"/>
                <w:sz w:val="28"/>
                <w:szCs w:val="28"/>
                <w:lang w:val="en"/>
              </w:rPr>
            </w:pPr>
            <w:r w:rsidRPr="00F62182">
              <w:rPr>
                <w:rFonts w:asciiTheme="minorHAnsi" w:hAnsiTheme="minorHAnsi" w:cs="Arial"/>
                <w:color w:val="000000"/>
                <w:sz w:val="28"/>
                <w:szCs w:val="28"/>
                <w:lang w:val="en"/>
              </w:rPr>
              <w:t>An introductory course designed to present to the student the concepts and principles of financial accounting. The fundamental techniques of the basic accounting system and the accounting cycle for service and merchandise concerns are examined. Additionally, topics such as cash controls, Sarbanes-Oxley Act, accounts and notes receivable, inventory, property, plant and equipment are discussed.</w:t>
            </w:r>
            <w:r w:rsidR="00FD6243" w:rsidRPr="00F62182">
              <w:rPr>
                <w:rFonts w:asciiTheme="minorHAnsi" w:hAnsiTheme="minorHAnsi" w:cs="Arial"/>
                <w:color w:val="000000"/>
                <w:sz w:val="28"/>
                <w:szCs w:val="28"/>
                <w:lang w:val="en"/>
              </w:rPr>
              <w:t xml:space="preserve"> </w:t>
            </w:r>
          </w:p>
          <w:p w:rsidR="00904B56" w:rsidRPr="00F62182" w:rsidRDefault="00FD6243" w:rsidP="00904B56">
            <w:pPr>
              <w:rPr>
                <w:rFonts w:asciiTheme="minorHAnsi" w:hAnsiTheme="minorHAnsi" w:cs="Arial"/>
                <w:color w:val="000000"/>
                <w:sz w:val="28"/>
                <w:szCs w:val="28"/>
                <w:lang w:val="en"/>
              </w:rPr>
            </w:pPr>
            <w:r w:rsidRPr="00F62182">
              <w:rPr>
                <w:rFonts w:asciiTheme="minorHAnsi" w:hAnsiTheme="minorHAnsi" w:cs="Arial"/>
                <w:color w:val="000000"/>
                <w:sz w:val="28"/>
                <w:szCs w:val="28"/>
                <w:lang w:val="en"/>
              </w:rPr>
              <w:t>Prerequisites: Algebra 1 (MAT-087) and Reading Level 1 (DRG-091)</w:t>
            </w:r>
          </w:p>
          <w:p w:rsidR="00FD6243" w:rsidRPr="00F62182" w:rsidRDefault="00FD6243" w:rsidP="00904B56">
            <w:pPr>
              <w:rPr>
                <w:rFonts w:asciiTheme="minorHAnsi" w:hAnsiTheme="minorHAnsi"/>
                <w:b/>
                <w:sz w:val="28"/>
                <w:szCs w:val="28"/>
              </w:rPr>
            </w:pPr>
            <w:r w:rsidRPr="00F62182">
              <w:rPr>
                <w:rFonts w:asciiTheme="minorHAnsi" w:hAnsiTheme="minorHAnsi" w:cs="Arial"/>
                <w:color w:val="000000"/>
                <w:sz w:val="28"/>
                <w:szCs w:val="28"/>
                <w:lang w:val="en"/>
              </w:rPr>
              <w:t>Students must pass with a minimum grade of C- in order to take Accounting 2 (ACC-102).</w:t>
            </w:r>
          </w:p>
          <w:p w:rsidR="000617DE" w:rsidRPr="000712E1" w:rsidRDefault="000617DE">
            <w:pPr>
              <w:keepNext/>
              <w:ind w:right="1440"/>
              <w:rPr>
                <w:b/>
                <w:sz w:val="28"/>
              </w:rPr>
            </w:pPr>
          </w:p>
        </w:tc>
      </w:tr>
    </w:tbl>
    <w:p w:rsidR="004B1959" w:rsidRPr="00FD30F0" w:rsidRDefault="004B1959" w:rsidP="004B1959">
      <w:pPr>
        <w:keepNext/>
        <w:ind w:left="1440" w:right="1440"/>
        <w:jc w:val="center"/>
        <w:rPr>
          <w:b/>
          <w:smallCaps/>
          <w:sz w:val="6"/>
          <w:szCs w:val="6"/>
        </w:rPr>
      </w:pPr>
    </w:p>
    <w:p w:rsidR="008A03AD" w:rsidRPr="004B1959" w:rsidRDefault="004B1959" w:rsidP="004B1959">
      <w:pPr>
        <w:keepNext/>
        <w:ind w:left="1440" w:right="1440"/>
        <w:jc w:val="center"/>
        <w:rPr>
          <w:b/>
          <w:smallCaps/>
          <w:sz w:val="36"/>
          <w:szCs w:val="36"/>
        </w:rPr>
      </w:pPr>
      <w:r w:rsidRPr="004B1959">
        <w:rPr>
          <w:b/>
          <w:smallCaps/>
          <w:sz w:val="36"/>
          <w:szCs w:val="36"/>
        </w:rPr>
        <w:t>Objectives/competencies</w:t>
      </w:r>
    </w:p>
    <w:p w:rsidR="004B1959" w:rsidRDefault="004B1959" w:rsidP="004B1959">
      <w:pPr>
        <w:keepNext/>
        <w:ind w:left="1440" w:right="1440"/>
        <w:jc w:val="center"/>
        <w:rPr>
          <w:b/>
          <w:smallCaps/>
          <w:sz w:val="28"/>
        </w:rPr>
      </w:pPr>
    </w:p>
    <w:tbl>
      <w:tblPr>
        <w:tblW w:w="0" w:type="auto"/>
        <w:tblLayout w:type="fixed"/>
        <w:tblCellMar>
          <w:left w:w="115" w:type="dxa"/>
          <w:right w:w="115" w:type="dxa"/>
        </w:tblCellMar>
        <w:tblLook w:val="0000" w:firstRow="0" w:lastRow="0" w:firstColumn="0" w:lastColumn="0" w:noHBand="0" w:noVBand="0"/>
      </w:tblPr>
      <w:tblGrid>
        <w:gridCol w:w="7308"/>
        <w:gridCol w:w="7290"/>
        <w:gridCol w:w="18"/>
      </w:tblGrid>
      <w:tr w:rsidR="009974AA" w:rsidTr="000617DE">
        <w:trPr>
          <w:tblHeader/>
        </w:trPr>
        <w:tc>
          <w:tcPr>
            <w:tcW w:w="7308" w:type="dxa"/>
            <w:tcBorders>
              <w:top w:val="double" w:sz="12" w:space="0" w:color="auto"/>
              <w:left w:val="single" w:sz="6" w:space="0" w:color="auto"/>
              <w:bottom w:val="double" w:sz="12" w:space="0" w:color="auto"/>
              <w:right w:val="single" w:sz="6" w:space="0" w:color="auto"/>
            </w:tcBorders>
          </w:tcPr>
          <w:p w:rsidR="009974AA" w:rsidRDefault="009974AA">
            <w:pPr>
              <w:keepNext/>
              <w:widowControl w:val="0"/>
              <w:ind w:left="360" w:hanging="360"/>
              <w:jc w:val="center"/>
              <w:rPr>
                <w:b/>
                <w:sz w:val="28"/>
              </w:rPr>
            </w:pPr>
            <w:r>
              <w:rPr>
                <w:b/>
                <w:sz w:val="28"/>
              </w:rPr>
              <w:t>Course Objective</w:t>
            </w:r>
            <w:r w:rsidR="000617DE">
              <w:rPr>
                <w:b/>
                <w:sz w:val="28"/>
              </w:rPr>
              <w:t>s</w:t>
            </w:r>
          </w:p>
        </w:tc>
        <w:tc>
          <w:tcPr>
            <w:tcW w:w="7308" w:type="dxa"/>
            <w:gridSpan w:val="2"/>
            <w:tcBorders>
              <w:top w:val="double" w:sz="12" w:space="0" w:color="auto"/>
              <w:left w:val="single" w:sz="6" w:space="0" w:color="auto"/>
              <w:bottom w:val="double" w:sz="12" w:space="0" w:color="auto"/>
              <w:right w:val="single" w:sz="6" w:space="0" w:color="auto"/>
            </w:tcBorders>
          </w:tcPr>
          <w:p w:rsidR="009974AA" w:rsidRDefault="009974AA">
            <w:pPr>
              <w:keepNext/>
              <w:widowControl w:val="0"/>
              <w:ind w:left="252" w:hanging="252"/>
              <w:jc w:val="center"/>
              <w:rPr>
                <w:b/>
                <w:sz w:val="28"/>
              </w:rPr>
            </w:pPr>
            <w:r>
              <w:rPr>
                <w:b/>
                <w:sz w:val="28"/>
              </w:rPr>
              <w:t>Competencies</w:t>
            </w:r>
          </w:p>
        </w:tc>
      </w:tr>
      <w:tr w:rsidR="00904B56" w:rsidRPr="009C2633" w:rsidTr="000617DE">
        <w:trPr>
          <w:gridAfter w:val="1"/>
          <w:wAfter w:w="18" w:type="dxa"/>
        </w:trPr>
        <w:tc>
          <w:tcPr>
            <w:tcW w:w="7308" w:type="dxa"/>
            <w:tcBorders>
              <w:left w:val="single" w:sz="6" w:space="0" w:color="auto"/>
              <w:bottom w:val="single" w:sz="6" w:space="0" w:color="auto"/>
              <w:right w:val="single" w:sz="6" w:space="0" w:color="auto"/>
            </w:tcBorders>
          </w:tcPr>
          <w:p w:rsidR="00904B56" w:rsidRDefault="00904B56" w:rsidP="00904B56">
            <w:pPr>
              <w:rPr>
                <w:rFonts w:asciiTheme="minorHAnsi" w:hAnsiTheme="minorHAnsi"/>
              </w:rPr>
            </w:pPr>
            <w:r w:rsidRPr="00904B56">
              <w:rPr>
                <w:rFonts w:asciiTheme="minorHAnsi" w:hAnsiTheme="minorHAnsi"/>
              </w:rPr>
              <w:t>1.  Introduce the basics of financial accounting under Generally Accepted Accounting Principles (GAAP)</w:t>
            </w:r>
            <w:r w:rsidR="001F6025">
              <w:rPr>
                <w:rFonts w:asciiTheme="minorHAnsi" w:hAnsiTheme="minorHAnsi"/>
              </w:rPr>
              <w:t xml:space="preserve"> (critical thinking, written and oral communication, quantitative reasoning, </w:t>
            </w:r>
            <w:proofErr w:type="gramStart"/>
            <w:r w:rsidR="001F6025">
              <w:rPr>
                <w:rFonts w:asciiTheme="minorHAnsi" w:hAnsiTheme="minorHAnsi"/>
              </w:rPr>
              <w:t>computer</w:t>
            </w:r>
            <w:proofErr w:type="gramEnd"/>
            <w:r w:rsidR="001F6025">
              <w:rPr>
                <w:rFonts w:asciiTheme="minorHAnsi" w:hAnsiTheme="minorHAnsi"/>
              </w:rPr>
              <w:t xml:space="preserve"> literacy).</w:t>
            </w:r>
          </w:p>
          <w:p w:rsidR="00904B56" w:rsidRDefault="00904B56" w:rsidP="00904B56">
            <w:pPr>
              <w:rPr>
                <w:rFonts w:asciiTheme="minorHAnsi" w:hAnsiTheme="minorHAnsi"/>
              </w:rPr>
            </w:pPr>
          </w:p>
          <w:p w:rsidR="00FD30F0" w:rsidRDefault="00FD30F0" w:rsidP="00904B56">
            <w:pPr>
              <w:rPr>
                <w:rFonts w:asciiTheme="minorHAnsi" w:hAnsiTheme="minorHAnsi"/>
              </w:rPr>
            </w:pPr>
          </w:p>
          <w:p w:rsidR="00FD30F0" w:rsidRDefault="00FD30F0" w:rsidP="00904B56">
            <w:pPr>
              <w:rPr>
                <w:rFonts w:asciiTheme="minorHAnsi" w:hAnsiTheme="minorHAnsi"/>
              </w:rPr>
            </w:pPr>
          </w:p>
          <w:p w:rsidR="00FD30F0" w:rsidRDefault="00904B56" w:rsidP="00904B56">
            <w:pPr>
              <w:rPr>
                <w:rFonts w:asciiTheme="minorHAnsi" w:hAnsiTheme="minorHAnsi"/>
              </w:rPr>
            </w:pPr>
            <w:r>
              <w:rPr>
                <w:rFonts w:asciiTheme="minorHAnsi" w:hAnsiTheme="minorHAnsi"/>
              </w:rPr>
              <w:t xml:space="preserve">2. </w:t>
            </w:r>
            <w:r w:rsidR="00FD30F0">
              <w:rPr>
                <w:rFonts w:asciiTheme="minorHAnsi" w:hAnsiTheme="minorHAnsi"/>
              </w:rPr>
              <w:t>Introduce merchandising operation</w:t>
            </w:r>
            <w:r w:rsidR="001F6025">
              <w:rPr>
                <w:rFonts w:asciiTheme="minorHAnsi" w:hAnsiTheme="minorHAnsi"/>
              </w:rPr>
              <w:t>s and related inventory methods (critical thinking, quantitativ</w:t>
            </w:r>
            <w:r w:rsidR="00121889">
              <w:rPr>
                <w:rFonts w:asciiTheme="minorHAnsi" w:hAnsiTheme="minorHAnsi"/>
              </w:rPr>
              <w:t>e reasoning, computer literacy)</w:t>
            </w:r>
          </w:p>
          <w:p w:rsidR="00FD30F0" w:rsidRDefault="00FD30F0" w:rsidP="00904B56">
            <w:pPr>
              <w:rPr>
                <w:rFonts w:asciiTheme="minorHAnsi" w:hAnsiTheme="minorHAnsi"/>
              </w:rPr>
            </w:pPr>
          </w:p>
          <w:p w:rsidR="00FD30F0" w:rsidRDefault="00FD30F0" w:rsidP="00904B56">
            <w:pPr>
              <w:rPr>
                <w:rFonts w:asciiTheme="minorHAnsi" w:hAnsiTheme="minorHAnsi"/>
              </w:rPr>
            </w:pPr>
          </w:p>
          <w:p w:rsidR="001F6025" w:rsidRDefault="001F6025" w:rsidP="00904B56">
            <w:pPr>
              <w:rPr>
                <w:rFonts w:asciiTheme="minorHAnsi" w:hAnsiTheme="minorHAnsi"/>
              </w:rPr>
            </w:pPr>
          </w:p>
          <w:p w:rsidR="00FD30F0" w:rsidRDefault="00FD30F0" w:rsidP="00904B56">
            <w:pPr>
              <w:rPr>
                <w:rFonts w:asciiTheme="minorHAnsi" w:hAnsiTheme="minorHAnsi"/>
              </w:rPr>
            </w:pPr>
            <w:r>
              <w:rPr>
                <w:rFonts w:asciiTheme="minorHAnsi" w:hAnsiTheme="minorHAnsi"/>
              </w:rPr>
              <w:t>3. Introduce internal control systems with an emphasis on cash</w:t>
            </w:r>
            <w:r w:rsidR="001F6025">
              <w:rPr>
                <w:rFonts w:asciiTheme="minorHAnsi" w:hAnsiTheme="minorHAnsi"/>
              </w:rPr>
              <w:t xml:space="preserve"> (critical thinking, quantitativ</w:t>
            </w:r>
            <w:r w:rsidR="00121889">
              <w:rPr>
                <w:rFonts w:asciiTheme="minorHAnsi" w:hAnsiTheme="minorHAnsi"/>
              </w:rPr>
              <w:t>e reasoning, computer literacy)</w:t>
            </w:r>
          </w:p>
          <w:p w:rsidR="00FD30F0" w:rsidRDefault="00FD30F0" w:rsidP="00904B56">
            <w:pPr>
              <w:rPr>
                <w:rFonts w:asciiTheme="minorHAnsi" w:hAnsiTheme="minorHAnsi"/>
              </w:rPr>
            </w:pPr>
          </w:p>
          <w:p w:rsidR="00FD30F0" w:rsidRDefault="00FD30F0" w:rsidP="00904B56">
            <w:pPr>
              <w:rPr>
                <w:rFonts w:asciiTheme="minorHAnsi" w:hAnsiTheme="minorHAnsi"/>
              </w:rPr>
            </w:pPr>
          </w:p>
          <w:p w:rsidR="009C6513" w:rsidRDefault="00FD30F0" w:rsidP="00904B56">
            <w:pPr>
              <w:rPr>
                <w:rFonts w:asciiTheme="minorHAnsi" w:hAnsiTheme="minorHAnsi"/>
              </w:rPr>
            </w:pPr>
            <w:r>
              <w:rPr>
                <w:rFonts w:asciiTheme="minorHAnsi" w:hAnsiTheme="minorHAnsi"/>
              </w:rPr>
              <w:t>4. Examine receivables</w:t>
            </w:r>
            <w:r w:rsidR="00E37E59">
              <w:rPr>
                <w:rFonts w:asciiTheme="minorHAnsi" w:hAnsiTheme="minorHAnsi"/>
              </w:rPr>
              <w:t xml:space="preserve"> (critical thinking, quantitativ</w:t>
            </w:r>
            <w:r w:rsidR="00121889">
              <w:rPr>
                <w:rFonts w:asciiTheme="minorHAnsi" w:hAnsiTheme="minorHAnsi"/>
              </w:rPr>
              <w:t>e reasoning, computer literacy)</w:t>
            </w:r>
          </w:p>
          <w:p w:rsidR="009C6513" w:rsidRDefault="009C6513" w:rsidP="00904B56">
            <w:pPr>
              <w:rPr>
                <w:rFonts w:asciiTheme="minorHAnsi" w:hAnsiTheme="minorHAnsi"/>
              </w:rPr>
            </w:pPr>
          </w:p>
          <w:p w:rsidR="009C6513" w:rsidRPr="00904B56" w:rsidRDefault="009C6513" w:rsidP="00904B56">
            <w:pPr>
              <w:rPr>
                <w:rFonts w:asciiTheme="minorHAnsi" w:hAnsiTheme="minorHAnsi"/>
              </w:rPr>
            </w:pPr>
            <w:r>
              <w:rPr>
                <w:rFonts w:asciiTheme="minorHAnsi" w:hAnsiTheme="minorHAnsi"/>
              </w:rPr>
              <w:t>5. Introduce plant assets</w:t>
            </w:r>
            <w:r w:rsidR="00287CF6">
              <w:rPr>
                <w:rFonts w:asciiTheme="minorHAnsi" w:hAnsiTheme="minorHAnsi"/>
              </w:rPr>
              <w:t xml:space="preserve"> (critical thinking, quantit</w:t>
            </w:r>
            <w:r w:rsidR="00E37E59">
              <w:rPr>
                <w:rFonts w:asciiTheme="minorHAnsi" w:hAnsiTheme="minorHAnsi"/>
              </w:rPr>
              <w:t>ative reasoning, computer literacy)</w:t>
            </w:r>
          </w:p>
        </w:tc>
        <w:tc>
          <w:tcPr>
            <w:tcW w:w="7290" w:type="dxa"/>
            <w:tcBorders>
              <w:left w:val="single" w:sz="6" w:space="0" w:color="auto"/>
              <w:bottom w:val="single" w:sz="6" w:space="0" w:color="auto"/>
              <w:right w:val="single" w:sz="6" w:space="0" w:color="auto"/>
            </w:tcBorders>
          </w:tcPr>
          <w:p w:rsidR="00904B56" w:rsidRPr="00904B56" w:rsidRDefault="00904B56" w:rsidP="00904B56">
            <w:pPr>
              <w:rPr>
                <w:rFonts w:asciiTheme="minorHAnsi" w:hAnsiTheme="minorHAnsi"/>
              </w:rPr>
            </w:pPr>
            <w:r w:rsidRPr="00904B56">
              <w:rPr>
                <w:rFonts w:asciiTheme="minorHAnsi" w:hAnsiTheme="minorHAnsi"/>
              </w:rPr>
              <w:lastRenderedPageBreak/>
              <w:t>1.  Define accounting terms</w:t>
            </w:r>
          </w:p>
          <w:p w:rsidR="00904B56" w:rsidRPr="00904B56" w:rsidRDefault="00904B56" w:rsidP="00904B56">
            <w:pPr>
              <w:rPr>
                <w:rFonts w:asciiTheme="minorHAnsi" w:hAnsiTheme="minorHAnsi"/>
              </w:rPr>
            </w:pPr>
            <w:r w:rsidRPr="00904B56">
              <w:rPr>
                <w:rFonts w:asciiTheme="minorHAnsi" w:hAnsiTheme="minorHAnsi"/>
              </w:rPr>
              <w:t>2.  Identify the steps in the accounting cycle</w:t>
            </w:r>
          </w:p>
          <w:p w:rsidR="00EE5C11" w:rsidRDefault="00904B56" w:rsidP="00EE5C11">
            <w:pPr>
              <w:rPr>
                <w:rFonts w:asciiTheme="minorHAnsi" w:hAnsiTheme="minorHAnsi"/>
              </w:rPr>
            </w:pPr>
            <w:r w:rsidRPr="00904B56">
              <w:rPr>
                <w:rFonts w:asciiTheme="minorHAnsi" w:hAnsiTheme="minorHAnsi"/>
              </w:rPr>
              <w:t>3.  Apply the steps through the completion of a comprehensive problem including the preparation of income statements, statements of owner’s equity, and balance sheets</w:t>
            </w:r>
            <w:r w:rsidR="009C6513">
              <w:rPr>
                <w:rFonts w:asciiTheme="minorHAnsi" w:hAnsiTheme="minorHAnsi"/>
              </w:rPr>
              <w:t xml:space="preserve"> </w:t>
            </w:r>
          </w:p>
          <w:p w:rsidR="00EE5C11" w:rsidRDefault="00EE5C11" w:rsidP="00EE5C11">
            <w:pPr>
              <w:rPr>
                <w:rFonts w:asciiTheme="minorHAnsi" w:hAnsiTheme="minorHAnsi"/>
              </w:rPr>
            </w:pPr>
          </w:p>
          <w:p w:rsidR="00EE5C11" w:rsidRDefault="00FD30F0" w:rsidP="00EE5C11">
            <w:pPr>
              <w:rPr>
                <w:rFonts w:asciiTheme="minorHAnsi" w:hAnsiTheme="minorHAnsi"/>
              </w:rPr>
            </w:pPr>
            <w:r>
              <w:rPr>
                <w:rFonts w:asciiTheme="minorHAnsi" w:hAnsiTheme="minorHAnsi"/>
              </w:rPr>
              <w:t>1. Classify purchase and sale transactions in a perpetual inventory system.</w:t>
            </w:r>
          </w:p>
          <w:p w:rsidR="00EE5C11" w:rsidRDefault="00FD30F0" w:rsidP="00EE5C11">
            <w:pPr>
              <w:rPr>
                <w:rFonts w:asciiTheme="minorHAnsi" w:hAnsiTheme="minorHAnsi"/>
              </w:rPr>
            </w:pPr>
            <w:r>
              <w:rPr>
                <w:rFonts w:asciiTheme="minorHAnsi" w:hAnsiTheme="minorHAnsi"/>
              </w:rPr>
              <w:t>2. Calculate cost of goods sold and value ending in inventory</w:t>
            </w:r>
          </w:p>
          <w:p w:rsidR="00FD30F0" w:rsidRDefault="00FD30F0" w:rsidP="00EE5C11">
            <w:pPr>
              <w:rPr>
                <w:rFonts w:asciiTheme="minorHAnsi" w:hAnsiTheme="minorHAnsi"/>
              </w:rPr>
            </w:pPr>
            <w:r>
              <w:rPr>
                <w:rFonts w:asciiTheme="minorHAnsi" w:hAnsiTheme="minorHAnsi"/>
              </w:rPr>
              <w:t xml:space="preserve">3. </w:t>
            </w:r>
            <w:r w:rsidR="009C6513">
              <w:rPr>
                <w:rFonts w:asciiTheme="minorHAnsi" w:hAnsiTheme="minorHAnsi"/>
              </w:rPr>
              <w:t>Demonstrate the use of subsidiary ledgers</w:t>
            </w:r>
          </w:p>
          <w:p w:rsidR="009C6513" w:rsidRDefault="009C6513" w:rsidP="00904B56">
            <w:pPr>
              <w:keepNext/>
              <w:widowControl w:val="0"/>
              <w:rPr>
                <w:rFonts w:asciiTheme="minorHAnsi" w:hAnsiTheme="minorHAnsi"/>
              </w:rPr>
            </w:pPr>
          </w:p>
          <w:p w:rsidR="00904B56" w:rsidRDefault="00FD30F0" w:rsidP="00904B56">
            <w:pPr>
              <w:keepNext/>
              <w:widowControl w:val="0"/>
              <w:rPr>
                <w:rFonts w:asciiTheme="minorHAnsi" w:hAnsiTheme="minorHAnsi"/>
              </w:rPr>
            </w:pPr>
            <w:r>
              <w:rPr>
                <w:rFonts w:asciiTheme="minorHAnsi" w:hAnsiTheme="minorHAnsi"/>
              </w:rPr>
              <w:t>1. Explain objectives of internal control</w:t>
            </w:r>
          </w:p>
          <w:p w:rsidR="00FD30F0" w:rsidRDefault="00FD30F0" w:rsidP="00904B56">
            <w:pPr>
              <w:keepNext/>
              <w:widowControl w:val="0"/>
              <w:rPr>
                <w:rFonts w:asciiTheme="minorHAnsi" w:hAnsiTheme="minorHAnsi"/>
              </w:rPr>
            </w:pPr>
            <w:r>
              <w:rPr>
                <w:rFonts w:asciiTheme="minorHAnsi" w:hAnsiTheme="minorHAnsi"/>
              </w:rPr>
              <w:t>2. Complete the bank reconciliation process</w:t>
            </w:r>
          </w:p>
          <w:p w:rsidR="00FD30F0" w:rsidRDefault="009C6513" w:rsidP="00904B56">
            <w:pPr>
              <w:keepNext/>
              <w:widowControl w:val="0"/>
              <w:rPr>
                <w:rFonts w:asciiTheme="minorHAnsi" w:hAnsiTheme="minorHAnsi"/>
              </w:rPr>
            </w:pPr>
            <w:r>
              <w:rPr>
                <w:rFonts w:asciiTheme="minorHAnsi" w:hAnsiTheme="minorHAnsi"/>
              </w:rPr>
              <w:t>3. Document petty cash transacti</w:t>
            </w:r>
            <w:r w:rsidR="00E37E59">
              <w:rPr>
                <w:rFonts w:asciiTheme="minorHAnsi" w:hAnsiTheme="minorHAnsi"/>
              </w:rPr>
              <w:t xml:space="preserve">ons </w:t>
            </w:r>
          </w:p>
          <w:p w:rsidR="00E37E59" w:rsidRDefault="00E37E59" w:rsidP="00904B56">
            <w:pPr>
              <w:keepNext/>
              <w:widowControl w:val="0"/>
              <w:rPr>
                <w:rFonts w:asciiTheme="minorHAnsi" w:hAnsiTheme="minorHAnsi"/>
              </w:rPr>
            </w:pPr>
          </w:p>
          <w:p w:rsidR="00FD30F0" w:rsidRDefault="00FD30F0" w:rsidP="00904B56">
            <w:pPr>
              <w:keepNext/>
              <w:widowControl w:val="0"/>
              <w:rPr>
                <w:rFonts w:asciiTheme="minorHAnsi" w:hAnsiTheme="minorHAnsi"/>
              </w:rPr>
            </w:pPr>
            <w:r>
              <w:rPr>
                <w:rFonts w:asciiTheme="minorHAnsi" w:hAnsiTheme="minorHAnsi"/>
              </w:rPr>
              <w:t>1. Identify and apply the methods for uncollectible accounts receivable</w:t>
            </w:r>
          </w:p>
          <w:p w:rsidR="009C6513" w:rsidRDefault="00FD30F0" w:rsidP="00904B56">
            <w:pPr>
              <w:keepNext/>
              <w:widowControl w:val="0"/>
              <w:rPr>
                <w:rFonts w:asciiTheme="minorHAnsi" w:hAnsiTheme="minorHAnsi"/>
              </w:rPr>
            </w:pPr>
            <w:r>
              <w:rPr>
                <w:rFonts w:asciiTheme="minorHAnsi" w:hAnsiTheme="minorHAnsi"/>
              </w:rPr>
              <w:t>2. Demo</w:t>
            </w:r>
            <w:r w:rsidR="00F00F11">
              <w:rPr>
                <w:rFonts w:asciiTheme="minorHAnsi" w:hAnsiTheme="minorHAnsi"/>
              </w:rPr>
              <w:t>n</w:t>
            </w:r>
            <w:r>
              <w:rPr>
                <w:rFonts w:asciiTheme="minorHAnsi" w:hAnsiTheme="minorHAnsi"/>
              </w:rPr>
              <w:t>strate the establishment and settlement of notes receivable.</w:t>
            </w:r>
            <w:r w:rsidR="009C6513">
              <w:rPr>
                <w:rFonts w:asciiTheme="minorHAnsi" w:hAnsiTheme="minorHAnsi"/>
              </w:rPr>
              <w:t xml:space="preserve"> </w:t>
            </w:r>
          </w:p>
          <w:p w:rsidR="00E37E59" w:rsidRDefault="00E37E59" w:rsidP="00904B56">
            <w:pPr>
              <w:keepNext/>
              <w:widowControl w:val="0"/>
              <w:rPr>
                <w:rFonts w:asciiTheme="minorHAnsi" w:hAnsiTheme="minorHAnsi"/>
              </w:rPr>
            </w:pPr>
          </w:p>
          <w:p w:rsidR="009C6513" w:rsidRDefault="009C6513" w:rsidP="00904B56">
            <w:pPr>
              <w:keepNext/>
              <w:widowControl w:val="0"/>
              <w:rPr>
                <w:rFonts w:asciiTheme="minorHAnsi" w:hAnsiTheme="minorHAnsi"/>
              </w:rPr>
            </w:pPr>
            <w:r>
              <w:rPr>
                <w:rFonts w:asciiTheme="minorHAnsi" w:hAnsiTheme="minorHAnsi"/>
              </w:rPr>
              <w:t>1. identify the cost of assets</w:t>
            </w:r>
          </w:p>
          <w:p w:rsidR="009C6513" w:rsidRDefault="00F00F11" w:rsidP="00904B56">
            <w:pPr>
              <w:keepNext/>
              <w:widowControl w:val="0"/>
              <w:rPr>
                <w:rFonts w:asciiTheme="minorHAnsi" w:hAnsiTheme="minorHAnsi"/>
              </w:rPr>
            </w:pPr>
            <w:r>
              <w:rPr>
                <w:rFonts w:asciiTheme="minorHAnsi" w:hAnsiTheme="minorHAnsi"/>
              </w:rPr>
              <w:t>2. Examine depreciatio</w:t>
            </w:r>
            <w:r w:rsidR="009C6513">
              <w:rPr>
                <w:rFonts w:asciiTheme="minorHAnsi" w:hAnsiTheme="minorHAnsi"/>
              </w:rPr>
              <w:t xml:space="preserve">n, depletion, amortization methods </w:t>
            </w:r>
          </w:p>
          <w:p w:rsidR="009C6513" w:rsidRDefault="009C6513" w:rsidP="00904B56">
            <w:pPr>
              <w:keepNext/>
              <w:widowControl w:val="0"/>
              <w:rPr>
                <w:rFonts w:asciiTheme="minorHAnsi" w:hAnsiTheme="minorHAnsi"/>
              </w:rPr>
            </w:pPr>
            <w:r>
              <w:rPr>
                <w:rFonts w:asciiTheme="minorHAnsi" w:hAnsiTheme="minorHAnsi"/>
              </w:rPr>
              <w:t xml:space="preserve">3. Calculate </w:t>
            </w:r>
            <w:r w:rsidR="00F00F11">
              <w:rPr>
                <w:rFonts w:asciiTheme="minorHAnsi" w:hAnsiTheme="minorHAnsi"/>
              </w:rPr>
              <w:t>depreciation expense amounts an</w:t>
            </w:r>
            <w:r>
              <w:rPr>
                <w:rFonts w:asciiTheme="minorHAnsi" w:hAnsiTheme="minorHAnsi"/>
              </w:rPr>
              <w:t>d</w:t>
            </w:r>
            <w:r w:rsidR="00F00F11">
              <w:rPr>
                <w:rFonts w:asciiTheme="minorHAnsi" w:hAnsiTheme="minorHAnsi"/>
              </w:rPr>
              <w:t xml:space="preserve"> </w:t>
            </w:r>
            <w:r>
              <w:rPr>
                <w:rFonts w:asciiTheme="minorHAnsi" w:hAnsiTheme="minorHAnsi"/>
              </w:rPr>
              <w:t xml:space="preserve">book values </w:t>
            </w:r>
          </w:p>
          <w:p w:rsidR="00904B56" w:rsidRPr="009C6513" w:rsidRDefault="009C6513" w:rsidP="00E37E59">
            <w:pPr>
              <w:keepNext/>
              <w:widowControl w:val="0"/>
              <w:rPr>
                <w:rFonts w:asciiTheme="minorHAnsi" w:hAnsiTheme="minorHAnsi"/>
              </w:rPr>
            </w:pPr>
            <w:r>
              <w:rPr>
                <w:rFonts w:asciiTheme="minorHAnsi" w:hAnsiTheme="minorHAnsi"/>
              </w:rPr>
              <w:t>4. Calculate th</w:t>
            </w:r>
            <w:r w:rsidR="00E37E59">
              <w:rPr>
                <w:rFonts w:asciiTheme="minorHAnsi" w:hAnsiTheme="minorHAnsi"/>
              </w:rPr>
              <w:t xml:space="preserve">e sale and disposal of assets </w:t>
            </w:r>
          </w:p>
        </w:tc>
      </w:tr>
    </w:tbl>
    <w:p w:rsidR="0017119B" w:rsidRDefault="0017119B">
      <w:pPr>
        <w:ind w:left="1440" w:right="1440"/>
        <w:jc w:val="center"/>
      </w:pPr>
    </w:p>
    <w:p w:rsidR="009974AA" w:rsidRDefault="009974AA">
      <w:pPr>
        <w:ind w:left="1440" w:right="1440"/>
        <w:jc w:val="center"/>
      </w:pPr>
    </w:p>
    <w:sectPr w:rsidR="009974AA" w:rsidSect="000617DE">
      <w:headerReference w:type="default" r:id="rId7"/>
      <w:headerReference w:type="first" r:id="rId8"/>
      <w:type w:val="continuous"/>
      <w:pgSz w:w="15840" w:h="12240" w:orient="landscape" w:code="1"/>
      <w:pgMar w:top="535" w:right="720" w:bottom="720" w:left="720" w:header="450" w:footer="268"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397" w:rsidRDefault="00AF7397">
      <w:r>
        <w:separator/>
      </w:r>
    </w:p>
  </w:endnote>
  <w:endnote w:type="continuationSeparator" w:id="0">
    <w:p w:rsidR="00AF7397" w:rsidRDefault="00AF7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397" w:rsidRDefault="00AF7397">
      <w:r>
        <w:separator/>
      </w:r>
    </w:p>
  </w:footnote>
  <w:footnote w:type="continuationSeparator" w:id="0">
    <w:p w:rsidR="00AF7397" w:rsidRDefault="00AF73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3AD" w:rsidRDefault="008A03AD"/>
  <w:tbl>
    <w:tblPr>
      <w:tblW w:w="0" w:type="auto"/>
      <w:jc w:val="center"/>
      <w:tblLayout w:type="fixed"/>
      <w:tblLook w:val="0000" w:firstRow="0" w:lastRow="0" w:firstColumn="0" w:lastColumn="0" w:noHBand="0" w:noVBand="0"/>
    </w:tblPr>
    <w:tblGrid>
      <w:gridCol w:w="2250"/>
      <w:gridCol w:w="3593"/>
      <w:gridCol w:w="8563"/>
    </w:tblGrid>
    <w:tr w:rsidR="008A03AD">
      <w:trPr>
        <w:jc w:val="center"/>
      </w:trPr>
      <w:tc>
        <w:tcPr>
          <w:tcW w:w="2250" w:type="dxa"/>
        </w:tcPr>
        <w:p w:rsidR="008A03AD" w:rsidRDefault="008A03AD">
          <w:r>
            <w:t>Course Number:</w:t>
          </w:r>
        </w:p>
      </w:tc>
      <w:tc>
        <w:tcPr>
          <w:tcW w:w="3593" w:type="dxa"/>
          <w:tcBorders>
            <w:bottom w:val="single" w:sz="6" w:space="0" w:color="auto"/>
          </w:tcBorders>
        </w:tcPr>
        <w:p w:rsidR="008A03AD" w:rsidRDefault="00F00F11">
          <w:r>
            <w:t>ACC-101</w:t>
          </w:r>
        </w:p>
      </w:tc>
      <w:tc>
        <w:tcPr>
          <w:tcW w:w="8563" w:type="dxa"/>
        </w:tcPr>
        <w:p w:rsidR="008A03AD" w:rsidRDefault="008A03AD">
          <w:pP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C19CE">
            <w:rPr>
              <w:rStyle w:val="PageNumber"/>
              <w:noProof/>
            </w:rPr>
            <w:t>2</w:t>
          </w:r>
          <w:r>
            <w:rPr>
              <w:rStyle w:val="PageNumber"/>
            </w:rPr>
            <w:fldChar w:fldCharType="end"/>
          </w:r>
        </w:p>
      </w:tc>
    </w:tr>
  </w:tbl>
  <w:p w:rsidR="008A03AD" w:rsidRDefault="008A03AD">
    <w:pPr>
      <w:ind w:left="1440" w:right="1440"/>
      <w:jc w:val="center"/>
      <w:rPr>
        <w:b/>
        <w:smallCaps/>
        <w:sz w:val="28"/>
      </w:rPr>
    </w:pPr>
  </w:p>
  <w:p w:rsidR="008A03AD" w:rsidRDefault="008A03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D8B" w:rsidRDefault="00D41D8B">
    <w:pPr>
      <w:pStyle w:val="Header"/>
    </w:pPr>
    <w:r>
      <w:t>Enrollment Management</w:t>
    </w:r>
  </w:p>
  <w:p w:rsidR="00D41D8B" w:rsidRDefault="00D41D8B">
    <w:pPr>
      <w:pStyle w:val="Header"/>
    </w:pPr>
    <w:r>
      <w:t>10/15</w:t>
    </w:r>
  </w:p>
  <w:p w:rsidR="000617DE" w:rsidRPr="000617DE" w:rsidRDefault="000617DE">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E0EE6"/>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1D3477BD"/>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289E5F06"/>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2B175DDD"/>
    <w:multiLevelType w:val="hybridMultilevel"/>
    <w:tmpl w:val="5A04C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BF0C52"/>
    <w:multiLevelType w:val="singleLevel"/>
    <w:tmpl w:val="5A3C42B4"/>
    <w:lvl w:ilvl="0">
      <w:start w:val="4"/>
      <w:numFmt w:val="decimal"/>
      <w:lvlText w:val="%1."/>
      <w:lvlJc w:val="left"/>
      <w:pPr>
        <w:tabs>
          <w:tab w:val="num" w:pos="360"/>
        </w:tabs>
        <w:ind w:left="360" w:hanging="360"/>
      </w:pPr>
    </w:lvl>
  </w:abstractNum>
  <w:abstractNum w:abstractNumId="5" w15:restartNumberingAfterBreak="0">
    <w:nsid w:val="40890A10"/>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47875B94"/>
    <w:multiLevelType w:val="singleLevel"/>
    <w:tmpl w:val="5A3C42B4"/>
    <w:lvl w:ilvl="0">
      <w:start w:val="1"/>
      <w:numFmt w:val="decimal"/>
      <w:lvlText w:val="%1."/>
      <w:lvlJc w:val="left"/>
      <w:pPr>
        <w:tabs>
          <w:tab w:val="num" w:pos="360"/>
        </w:tabs>
        <w:ind w:left="360" w:hanging="360"/>
      </w:pPr>
      <w:rPr>
        <w:rFonts w:hint="default"/>
      </w:rPr>
    </w:lvl>
  </w:abstractNum>
  <w:abstractNum w:abstractNumId="7" w15:restartNumberingAfterBreak="0">
    <w:nsid w:val="59CD57A6"/>
    <w:multiLevelType w:val="hybridMultilevel"/>
    <w:tmpl w:val="9036F17C"/>
    <w:lvl w:ilvl="0" w:tplc="542A582A">
      <w:start w:val="1"/>
      <w:numFmt w:val="bullet"/>
      <w:lvlText w:val=""/>
      <w:lvlJc w:val="left"/>
      <w:pPr>
        <w:tabs>
          <w:tab w:val="num" w:pos="360"/>
        </w:tabs>
        <w:ind w:left="360" w:hanging="360"/>
      </w:pPr>
      <w:rPr>
        <w:rFonts w:ascii="Symbol" w:hAnsi="Symbol" w:hint="default"/>
      </w:rPr>
    </w:lvl>
    <w:lvl w:ilvl="1" w:tplc="EF3699BE">
      <w:start w:val="3"/>
      <w:numFmt w:val="decimal"/>
      <w:lvlText w:val="%2."/>
      <w:lvlJc w:val="left"/>
      <w:pPr>
        <w:tabs>
          <w:tab w:val="num" w:pos="1512"/>
        </w:tabs>
        <w:ind w:left="1512" w:hanging="432"/>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631022"/>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701223C1"/>
    <w:multiLevelType w:val="hybridMultilevel"/>
    <w:tmpl w:val="92844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5"/>
  </w:num>
  <w:num w:numId="5">
    <w:abstractNumId w:val="2"/>
  </w:num>
  <w:num w:numId="6">
    <w:abstractNumId w:val="4"/>
  </w:num>
  <w:num w:numId="7">
    <w:abstractNumId w:val="6"/>
  </w:num>
  <w:num w:numId="8">
    <w:abstractNumId w:val="7"/>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4AA"/>
    <w:rsid w:val="00026B81"/>
    <w:rsid w:val="000617DE"/>
    <w:rsid w:val="000712E1"/>
    <w:rsid w:val="000D39C1"/>
    <w:rsid w:val="000E34DF"/>
    <w:rsid w:val="00121889"/>
    <w:rsid w:val="0017119B"/>
    <w:rsid w:val="00184C47"/>
    <w:rsid w:val="001F6025"/>
    <w:rsid w:val="00287CF6"/>
    <w:rsid w:val="002D1BAE"/>
    <w:rsid w:val="00325FC4"/>
    <w:rsid w:val="00346F80"/>
    <w:rsid w:val="004B1959"/>
    <w:rsid w:val="004B6A41"/>
    <w:rsid w:val="005B348F"/>
    <w:rsid w:val="005C19CE"/>
    <w:rsid w:val="005E0CAC"/>
    <w:rsid w:val="0069789C"/>
    <w:rsid w:val="008024DC"/>
    <w:rsid w:val="008A03AD"/>
    <w:rsid w:val="008B75BA"/>
    <w:rsid w:val="00904B56"/>
    <w:rsid w:val="00913CBF"/>
    <w:rsid w:val="00966A6E"/>
    <w:rsid w:val="009974AA"/>
    <w:rsid w:val="009C2633"/>
    <w:rsid w:val="009C60BF"/>
    <w:rsid w:val="009C6513"/>
    <w:rsid w:val="00A179AB"/>
    <w:rsid w:val="00A34862"/>
    <w:rsid w:val="00AC7126"/>
    <w:rsid w:val="00AD6FD2"/>
    <w:rsid w:val="00AF72F9"/>
    <w:rsid w:val="00AF7397"/>
    <w:rsid w:val="00C12AF7"/>
    <w:rsid w:val="00D41D8B"/>
    <w:rsid w:val="00DB2A9F"/>
    <w:rsid w:val="00DF34D6"/>
    <w:rsid w:val="00E37E59"/>
    <w:rsid w:val="00EE5C11"/>
    <w:rsid w:val="00F00AC7"/>
    <w:rsid w:val="00F00F11"/>
    <w:rsid w:val="00F2092F"/>
    <w:rsid w:val="00F31395"/>
    <w:rsid w:val="00F62182"/>
    <w:rsid w:val="00FD30F0"/>
    <w:rsid w:val="00FD6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15:docId w15:val="{63E7A1DF-E2DD-4DC5-A65F-90F8384D2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C7126"/>
    <w:pPr>
      <w:framePr w:w="7920" w:h="1980" w:hRule="exact" w:hSpace="180" w:wrap="auto" w:hAnchor="page" w:xAlign="center" w:yAlign="bottom"/>
      <w:ind w:left="2880"/>
    </w:pPr>
    <w:rPr>
      <w:rFonts w:ascii="Arial Rounded MT Bold" w:hAnsi="Arial Rounded MT Bold"/>
      <w:b/>
      <w:caps/>
      <w:sz w:val="28"/>
    </w:rPr>
  </w:style>
  <w:style w:type="paragraph" w:styleId="EnvelopeReturn">
    <w:name w:val="envelope return"/>
    <w:basedOn w:val="Normal"/>
    <w:rsid w:val="00AC7126"/>
    <w:rPr>
      <w:rFonts w:ascii="Arial Narrow" w:hAnsi="Arial Narrow"/>
      <w:sz w:val="22"/>
    </w:rPr>
  </w:style>
  <w:style w:type="paragraph" w:styleId="Header">
    <w:name w:val="header"/>
    <w:basedOn w:val="Normal"/>
    <w:link w:val="HeaderChar"/>
    <w:uiPriority w:val="99"/>
    <w:rsid w:val="00AC7126"/>
    <w:pPr>
      <w:tabs>
        <w:tab w:val="center" w:pos="4320"/>
        <w:tab w:val="right" w:pos="8640"/>
      </w:tabs>
    </w:pPr>
  </w:style>
  <w:style w:type="paragraph" w:styleId="Footer">
    <w:name w:val="footer"/>
    <w:basedOn w:val="Normal"/>
    <w:link w:val="FooterChar"/>
    <w:uiPriority w:val="99"/>
    <w:rsid w:val="00AC7126"/>
    <w:pPr>
      <w:tabs>
        <w:tab w:val="center" w:pos="4320"/>
        <w:tab w:val="right" w:pos="8640"/>
      </w:tabs>
    </w:pPr>
  </w:style>
  <w:style w:type="character" w:styleId="PageNumber">
    <w:name w:val="page number"/>
    <w:basedOn w:val="DefaultParagraphFont"/>
    <w:rsid w:val="00AC7126"/>
  </w:style>
  <w:style w:type="paragraph" w:styleId="BlockText">
    <w:name w:val="Block Text"/>
    <w:basedOn w:val="Normal"/>
    <w:rsid w:val="00AC7126"/>
    <w:pPr>
      <w:ind w:left="720" w:right="720"/>
    </w:pPr>
  </w:style>
  <w:style w:type="paragraph" w:styleId="Title">
    <w:name w:val="Title"/>
    <w:basedOn w:val="Normal"/>
    <w:qFormat/>
    <w:rsid w:val="00AC7126"/>
    <w:pPr>
      <w:jc w:val="center"/>
    </w:pPr>
    <w:rPr>
      <w:smallCaps/>
      <w:sz w:val="32"/>
    </w:rPr>
  </w:style>
  <w:style w:type="paragraph" w:styleId="BodyText">
    <w:name w:val="Body Text"/>
    <w:basedOn w:val="Normal"/>
    <w:rsid w:val="00AC7126"/>
    <w:rPr>
      <w:sz w:val="28"/>
    </w:rPr>
  </w:style>
  <w:style w:type="character" w:customStyle="1" w:styleId="FooterChar">
    <w:name w:val="Footer Char"/>
    <w:link w:val="Footer"/>
    <w:uiPriority w:val="99"/>
    <w:rsid w:val="0017119B"/>
    <w:rPr>
      <w:sz w:val="24"/>
    </w:rPr>
  </w:style>
  <w:style w:type="paragraph" w:styleId="BalloonText">
    <w:name w:val="Balloon Text"/>
    <w:basedOn w:val="Normal"/>
    <w:link w:val="BalloonTextChar"/>
    <w:uiPriority w:val="99"/>
    <w:semiHidden/>
    <w:unhideWhenUsed/>
    <w:rsid w:val="0017119B"/>
    <w:rPr>
      <w:rFonts w:ascii="Tahoma" w:hAnsi="Tahoma" w:cs="Tahoma"/>
      <w:sz w:val="16"/>
      <w:szCs w:val="16"/>
    </w:rPr>
  </w:style>
  <w:style w:type="character" w:customStyle="1" w:styleId="BalloonTextChar">
    <w:name w:val="Balloon Text Char"/>
    <w:link w:val="BalloonText"/>
    <w:uiPriority w:val="99"/>
    <w:semiHidden/>
    <w:rsid w:val="0017119B"/>
    <w:rPr>
      <w:rFonts w:ascii="Tahoma" w:hAnsi="Tahoma" w:cs="Tahoma"/>
      <w:sz w:val="16"/>
      <w:szCs w:val="16"/>
    </w:rPr>
  </w:style>
  <w:style w:type="table" w:styleId="TableGrid">
    <w:name w:val="Table Grid"/>
    <w:basedOn w:val="TableNormal"/>
    <w:uiPriority w:val="59"/>
    <w:rsid w:val="008A0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41D8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Objective/Competencies Template</vt:lpstr>
    </vt:vector>
  </TitlesOfParts>
  <Company>Springfield Technical Community College</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Objective/Competencies Template</dc:title>
  <dc:subject/>
  <dc:creator>Lori Rys Moore</dc:creator>
  <cp:keywords/>
  <cp:lastModifiedBy>Jena Truoiolo</cp:lastModifiedBy>
  <cp:revision>2</cp:revision>
  <cp:lastPrinted>2015-12-02T17:28:00Z</cp:lastPrinted>
  <dcterms:created xsi:type="dcterms:W3CDTF">2015-12-07T16:41:00Z</dcterms:created>
  <dcterms:modified xsi:type="dcterms:W3CDTF">2015-12-07T16:41:00Z</dcterms:modified>
</cp:coreProperties>
</file>